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lsn-20260630.htm"/>
        <w:bookmarkStart w:id="1" w:name="ksalsn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60" w:after="283"/>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2026</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Commission File Number 001-35456</w:t>
      </w:r>
    </w:p>
    <w:p>
      <w:pPr>
        <w:pStyle w:val="TextBody"/>
        <w:bidi w:val="0"/>
        <w:spacing w:before="60" w:after="283"/>
        <w:jc w:val="center"/>
        <w:rPr>
          <w:rFonts w:ascii="Arial" w:hAnsi="Arial"/>
          <w:b/>
          <w:color w:val="000000"/>
          <w:sz w:val="48"/>
        </w:rPr>
      </w:pPr>
      <w:r>
        <w:rPr>
          <w:rFonts w:ascii="Arial" w:hAnsi="Arial"/>
          <w:b/>
          <w:color w:val="000000"/>
          <w:sz w:val="48"/>
        </w:rPr>
        <w:t>ALLISON TRANSMISSION HOLDINGS, INC.</w:t>
      </w:r>
    </w:p>
    <w:p>
      <w:pPr>
        <w:pStyle w:val="TextBody"/>
        <w:bidi w:val="0"/>
        <w:spacing w:before="60" w:after="283"/>
        <w:jc w:val="center"/>
        <w:rPr>
          <w:rFonts w:ascii="Arial" w:hAnsi="Arial"/>
          <w:color w:val="000000"/>
          <w:sz w:val="20"/>
        </w:rPr>
      </w:pPr>
      <w:r>
        <w:rPr>
          <w:rFonts w:ascii="Arial" w:hAnsi="Arial"/>
          <w:color w:val="000000"/>
          <w:sz w:val="20"/>
        </w:rPr>
        <w:t>(Exact name of registrant as specified in its charter)</w:t>
      </w:r>
    </w:p>
    <w:p>
      <w:pPr>
        <w:pStyle w:val="TextBody"/>
        <w:bidi w:val="0"/>
        <w:jc w:val="center"/>
        <w:rPr/>
      </w:pPr>
      <w:r>
        <w:rPr/>
        <w:t> </w:t>
      </w:r>
    </w:p>
    <w:p>
      <w:pPr>
        <w:pStyle w:val="TextBody"/>
        <w:bidi w:val="0"/>
        <w:jc w:val="center"/>
        <w:rPr/>
      </w:pPr>
      <w:r>
        <w:rPr/>
        <w:drawing>
          <wp:inline distT="0" distB="0" distL="0" distR="0">
            <wp:extent cx="19240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81025"/>
                    </a:xfrm>
                    <a:prstGeom prst="rect">
                      <a:avLst/>
                    </a:prstGeom>
                  </pic:spPr>
                </pic:pic>
              </a:graphicData>
            </a:graphic>
          </wp:inline>
        </w:drawing>
      </w:r>
    </w:p>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3346"/>
        <w:gridCol w:w="1741"/>
      </w:tblGrid>
      <w:tr>
        <w:trPr/>
        <w:tc>
          <w:tcPr>
            <w:tcW w:w="33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Delaware</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26-0414014</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(State or other jurisdiction of incorporation or</w:t>
            </w:r>
          </w:p>
          <w:p>
            <w:pPr>
              <w:pStyle w:val="TableContents"/>
              <w:bidi w:val="0"/>
              <w:spacing w:before="0" w:after="40"/>
              <w:jc w:val="center"/>
              <w:rPr>
                <w:rFonts w:ascii="Arial" w:hAnsi="Arial"/>
                <w:color w:val="000000"/>
                <w:sz w:val="16"/>
              </w:rPr>
            </w:pPr>
            <w:r>
              <w:rPr>
                <w:rFonts w:ascii="Arial" w:hAnsi="Arial"/>
                <w:color w:val="000000"/>
                <w:sz w:val="16"/>
              </w:rPr>
              <w:t>organization)</w:t>
            </w:r>
          </w:p>
        </w:tc>
        <w:tc>
          <w:tcPr>
            <w:tcW w:w="17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6"/>
              </w:rPr>
            </w:pPr>
            <w:r>
              <w:rPr>
                <w:rFonts w:ascii="Arial" w:hAnsi="Arial"/>
                <w:color w:val="000000"/>
                <w:sz w:val="16"/>
              </w:rPr>
              <w:t>(I.R.S. Employer</w:t>
            </w:r>
          </w:p>
          <w:p>
            <w:pPr>
              <w:pStyle w:val="TableContents"/>
              <w:bidi w:val="0"/>
              <w:spacing w:before="0" w:after="40"/>
              <w:jc w:val="center"/>
              <w:rPr>
                <w:rFonts w:ascii="Arial" w:hAnsi="Arial"/>
                <w:color w:val="000000"/>
                <w:sz w:val="16"/>
              </w:rPr>
            </w:pPr>
            <w:r>
              <w:rPr>
                <w:rFonts w:ascii="Arial" w:hAnsi="Arial"/>
                <w:color w:val="000000"/>
                <w:sz w:val="16"/>
              </w:rPr>
              <w:t>Identification Number)</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One Allison Way</w:t>
            </w:r>
          </w:p>
        </w:tc>
        <w:tc>
          <w:tcPr>
            <w:tcW w:w="174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Indianapolis, IN</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46222</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(Address of principal executive offices)</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(Zip Code)</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(317) 242-5000</w:t>
      </w:r>
    </w:p>
    <w:p>
      <w:pPr>
        <w:pStyle w:val="TextBody"/>
        <w:bidi w:val="0"/>
        <w:spacing w:before="40" w:after="283"/>
        <w:jc w:val="center"/>
        <w:rPr>
          <w:rFonts w:ascii="Arial" w:hAnsi="Arial"/>
          <w:color w:val="000000"/>
          <w:sz w:val="16"/>
        </w:rPr>
      </w:pPr>
      <w:r>
        <w:rPr>
          <w:rFonts w:ascii="Arial" w:hAnsi="Arial"/>
          <w:color w:val="000000"/>
          <w:sz w:val="16"/>
        </w:rPr>
        <w:t>(Registrant’s telephone number, including area code)</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2611"/>
        <w:gridCol w:w="146"/>
        <w:gridCol w:w="1576"/>
        <w:gridCol w:w="146"/>
        <w:gridCol w:w="36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Name of each exchange on which registered</w:t>
            </w:r>
          </w:p>
        </w:tc>
      </w:tr>
      <w:tr>
        <w:trPr/>
        <w:tc>
          <w:tcPr>
            <w:tcW w:w="261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Common Stock, $0.01 par value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ALSN</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New York Stock Exchange</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60" w:after="283"/>
        <w:jc w:val="left"/>
        <w:rPr/>
      </w:pPr>
      <w:r>
        <w:rPr/>
        <w:t> </w:t>
      </w:r>
    </w:p>
    <w:tbl>
      <w:tblPr>
        <w:tblW w:w="5295" w:type="dxa"/>
        <w:jc w:val="left"/>
        <w:tblInd w:w="0" w:type="dxa"/>
        <w:tblLayout w:type="fixed"/>
        <w:tblCellMar>
          <w:top w:w="28" w:type="dxa"/>
          <w:left w:w="28" w:type="dxa"/>
          <w:bottom w:w="28" w:type="dxa"/>
          <w:right w:w="28" w:type="dxa"/>
        </w:tblCellMar>
      </w:tblPr>
      <w:tblGrid>
        <w:gridCol w:w="2041"/>
        <w:gridCol w:w="31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Arial" w:hAnsi="Arial"/>
          <w:color w:val="000000"/>
          <w:sz w:val="20"/>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As of July 22, 2026, there were 82,578,038</w:t>
      </w:r>
      <w:r>
        <w:rPr>
          <w:rFonts w:ascii="Times New Roman" w:hAnsi="Times New Roman"/>
          <w:color w:val="000000"/>
          <w:sz w:val="20"/>
        </w:rPr>
        <w:t xml:space="preserve"> </w:t>
      </w:r>
      <w:r>
        <w:rPr>
          <w:rFonts w:ascii="Arial" w:hAnsi="Arial"/>
          <w:color w:val="000000"/>
          <w:sz w:val="20"/>
        </w:rPr>
        <w:t>shares of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 w:name="toc_page"/>
      <w:bookmarkStart w:id="3" w:name="table_of_contents"/>
      <w:bookmarkEnd w:id="2"/>
      <w:bookmarkEnd w:id="3"/>
      <w:r>
        <w:rPr>
          <w:rFonts w:ascii="Arial" w:hAnsi="Arial"/>
          <w:b/>
          <w:color w:val="000000"/>
          <w:sz w:val="20"/>
        </w:rPr>
        <w:t>TABLE OF CONTENTS</w:t>
      </w:r>
    </w:p>
    <w:p>
      <w:pPr>
        <w:pStyle w:val="TextBody"/>
        <w:bidi w:val="0"/>
        <w:spacing w:before="0" w:after="140"/>
        <w:jc w:val="left"/>
        <w:rPr/>
      </w:pPr>
      <w:r>
        <w:rPr/>
        <w:t> </w:t>
      </w:r>
    </w:p>
    <w:tbl>
      <w:tblPr>
        <w:tblW w:w="9318" w:type="dxa"/>
        <w:jc w:val="left"/>
        <w:tblInd w:w="0" w:type="dxa"/>
        <w:tblLayout w:type="fixed"/>
        <w:tblCellMar>
          <w:top w:w="28" w:type="dxa"/>
          <w:left w:w="28" w:type="dxa"/>
          <w:bottom w:w="28" w:type="dxa"/>
          <w:right w:w="28" w:type="dxa"/>
        </w:tblCellMar>
      </w:tblPr>
      <w:tblGrid>
        <w:gridCol w:w="871"/>
        <w:gridCol w:w="7846"/>
        <w:gridCol w:w="601"/>
      </w:tblGrid>
      <w:tr>
        <w:trPr/>
        <w:tc>
          <w:tcPr>
            <w:tcW w:w="87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Arial" w:hAnsi="Arial"/>
                  <w:b/>
                  <w:color w:val="0000FF"/>
                  <w:sz w:val="20"/>
                  <w:u w:val="single"/>
                </w:rPr>
                <w:t>PART I. FINANCIAL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financial_statemen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balance_shee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000FF"/>
                  <w:sz w:val="20"/>
                  <w:u w:val="single"/>
                </w:rPr>
                <w:t>Condensed Consolidated Statements of Comprehensive Income</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ompre">
              <w:r>
                <w:rPr>
                  <w:rStyle w:val="InternetLink"/>
                  <w:rFonts w:ascii="Arial" w:hAnsi="Arial"/>
                  <w:color w:val="0000FF"/>
                  <w:sz w:val="20"/>
                  <w:u w:val="single"/>
                </w:rPr>
                <w:t>4</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ash_f">
              <w:r>
                <w:rPr>
                  <w:rStyle w:val="InternetLink"/>
                  <w:rFonts w:ascii="Arial" w:hAnsi="Arial"/>
                  <w:color w:val="0000FF"/>
                  <w:sz w:val="20"/>
                  <w:u w:val="single"/>
                </w:rPr>
                <w:t>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equity">
              <w:r>
                <w:rPr>
                  <w:rStyle w:val="InternetLink"/>
                  <w:rFonts w:ascii="Arial" w:hAnsi="Arial"/>
                  <w:color w:val="0000FF"/>
                  <w:sz w:val="20"/>
                  <w:u w:val="single"/>
                </w:rPr>
                <w:t>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FF"/>
                  <w:sz w:val="20"/>
                  <w:u w:val="single"/>
                </w:rPr>
                <w:t>Notes to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notes_to_condensed_consolidated_financia">
              <w:r>
                <w:rPr>
                  <w:rStyle w:val="InternetLink"/>
                  <w:rFonts w:ascii="Arial" w:hAnsi="Arial"/>
                  <w:color w:val="0000FF"/>
                  <w:sz w:val="20"/>
                  <w:u w:val="single"/>
                </w:rPr>
                <w:t>8</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managements_discussion_analysis_financia">
              <w:r>
                <w:rPr>
                  <w:rStyle w:val="InternetLink"/>
                  <w:rFonts w:ascii="Arial" w:hAnsi="Arial"/>
                  <w:color w:val="0000FF"/>
                  <w:sz w:val="20"/>
                  <w:u w:val="single"/>
                </w:rPr>
                <w:t>32</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quantitativeandqualitativedisclosures">
              <w:r>
                <w:rPr>
                  <w:rStyle w:val="InternetLink"/>
                  <w:rFonts w:ascii="Arial" w:hAnsi="Arial"/>
                  <w:color w:val="0000FF"/>
                  <w:sz w:val="20"/>
                  <w:u w:val="single"/>
                </w:rPr>
                <w:t>49</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trolsandprocedures">
              <w:r>
                <w:rPr>
                  <w:rStyle w:val="InternetLink"/>
                  <w:rFonts w:ascii="Arial" w:hAnsi="Arial"/>
                  <w:color w:val="0000FF"/>
                  <w:sz w:val="20"/>
                  <w:u w:val="single"/>
                </w:rPr>
                <w:t>50</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Arial" w:hAnsi="Arial"/>
                  <w:b/>
                  <w:color w:val="0000FF"/>
                  <w:sz w:val="20"/>
                  <w:u w:val="single"/>
                </w:rPr>
                <w:t>PART II. 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legal_proceedings">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2_unregistered_sales_equity_securit">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Item 5.</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5_other_info">
              <w:r>
                <w:rPr>
                  <w:rStyle w:val="InternetLink"/>
                  <w:rFonts w:ascii="Arial" w:hAnsi="Arial"/>
                  <w:color w:val="0000FF"/>
                  <w:sz w:val="20"/>
                  <w:u w:val="single"/>
                </w:rPr>
                <w:t>52</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exhibits">
              <w:r>
                <w:rPr>
                  <w:rStyle w:val="InternetLink"/>
                  <w:rFonts w:ascii="Arial" w:hAnsi="Arial"/>
                  <w:color w:val="0000FF"/>
                  <w:sz w:val="20"/>
                  <w:u w:val="single"/>
                </w:rPr>
                <w:t>53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Arial" w:hAnsi="Arial"/>
                  <w:color w:val="0000FF"/>
                  <w:sz w:val="20"/>
                  <w:u w:val="single"/>
                </w:rPr>
                <w:t>54</w:t>
              </w:r>
            </w:hyperlink>
          </w:p>
        </w:tc>
      </w:tr>
    </w:tbl>
    <w:p>
      <w:pPr>
        <w:pStyle w:val="TextBody"/>
        <w:bidi w:val="0"/>
        <w:spacing w:before="40" w:after="283"/>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20"/>
              </w:rPr>
            </w:pPr>
            <w:bookmarkStart w:id="4" w:name="part_i_financial_information"/>
            <w:bookmarkEnd w:id="4"/>
            <w:r>
              <w:rPr>
                <w:rFonts w:ascii="Arial" w:hAnsi="Arial"/>
                <w:b/>
                <w:color w:val="000000"/>
                <w:sz w:val="20"/>
              </w:rPr>
              <w:t>PART I. FINANCIAL INFORMATION</w:t>
            </w:r>
          </w:p>
        </w:tc>
      </w:tr>
    </w:tbl>
    <w:p>
      <w:pPr>
        <w:pStyle w:val="TextBody"/>
        <w:bidi w:val="0"/>
        <w:spacing w:before="200" w:after="283"/>
        <w:jc w:val="left"/>
        <w:rPr>
          <w:rFonts w:ascii="Arial" w:hAnsi="Arial"/>
          <w:b/>
          <w:color w:val="000000"/>
          <w:sz w:val="20"/>
        </w:rPr>
      </w:pPr>
      <w:bookmarkStart w:id="5" w:name="item_1_financial_statements"/>
      <w:bookmarkEnd w:id="5"/>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6" w:name="condensed_consolidated_balance_sheets"/>
      <w:bookmarkEnd w:id="6"/>
      <w:r>
        <w:rPr>
          <w:rFonts w:ascii="Arial" w:hAnsi="Arial"/>
          <w:b/>
          <w:color w:val="000000"/>
          <w:sz w:val="20"/>
        </w:rPr>
        <w:t>Condensed Consolidated Balance Sheets</w:t>
      </w:r>
    </w:p>
    <w:p>
      <w:pPr>
        <w:pStyle w:val="TextBody"/>
        <w:bidi w:val="0"/>
        <w:spacing w:before="0" w:after="120"/>
        <w:jc w:val="center"/>
        <w:rPr>
          <w:rFonts w:ascii="Arial" w:hAnsi="Arial"/>
          <w:b/>
          <w:color w:val="000000"/>
          <w:sz w:val="20"/>
        </w:rPr>
      </w:pPr>
      <w:r>
        <w:rPr>
          <w:rFonts w:ascii="Arial" w:hAnsi="Arial"/>
          <w:b/>
          <w:color w:val="000000"/>
          <w:sz w:val="20"/>
        </w:rPr>
        <w:t>(unaudited, dollars in millions, except share and per share data)</w:t>
      </w:r>
    </w:p>
    <w:tbl>
      <w:tblPr>
        <w:tblW w:w="10205" w:type="dxa"/>
        <w:jc w:val="left"/>
        <w:tblInd w:w="0" w:type="dxa"/>
        <w:tblLayout w:type="fixed"/>
        <w:tblCellMar>
          <w:top w:w="28" w:type="dxa"/>
          <w:left w:w="28" w:type="dxa"/>
          <w:bottom w:w="28" w:type="dxa"/>
          <w:right w:w="28" w:type="dxa"/>
        </w:tblCellMar>
      </w:tblPr>
      <w:tblGrid>
        <w:gridCol w:w="7394"/>
        <w:gridCol w:w="146"/>
        <w:gridCol w:w="215"/>
        <w:gridCol w:w="585"/>
        <w:gridCol w:w="166"/>
        <w:gridCol w:w="146"/>
        <w:gridCol w:w="306"/>
        <w:gridCol w:w="833"/>
        <w:gridCol w:w="414"/>
      </w:tblGrid>
      <w:tr>
        <w:trPr/>
        <w:tc>
          <w:tcPr>
            <w:tcW w:w="7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b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Accounts receivable – net of allowance for doubtful accounts of $6</w:t>
            </w:r>
            <w:r>
              <w:rPr>
                <w:rFonts w:ascii="Times New Roman" w:hAnsi="Times New Roman"/>
                <w:color w:val="000000"/>
                <w:sz w:val="20"/>
              </w:rPr>
              <w:t> </w:t>
            </w:r>
            <w:r>
              <w:rPr>
                <w:rFonts w:ascii="Arial" w:hAnsi="Arial"/>
                <w:color w:val="000000"/>
                <w:sz w:val="18"/>
              </w:rPr>
              <w:t>and $1,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Product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Commitments and contingencies</w:t>
            </w:r>
            <w:r>
              <w:rPr>
                <w:rFonts w:ascii="Times New Roman" w:hAnsi="Times New Roman"/>
                <w:color w:val="000000"/>
                <w:sz w:val="20"/>
              </w:rPr>
              <w:t> </w:t>
            </w:r>
            <w:r>
              <w:rPr>
                <w:rFonts w:ascii="Arial" w:hAnsi="Arial"/>
                <w:color w:val="000000"/>
                <w:sz w:val="18"/>
              </w:rPr>
              <w:t>(see Note 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Common stock, $0.01</w:t>
            </w:r>
            <w:r>
              <w:rPr>
                <w:rFonts w:ascii="Times New Roman" w:hAnsi="Times New Roman"/>
                <w:color w:val="000000"/>
                <w:sz w:val="20"/>
              </w:rPr>
              <w:t> </w:t>
            </w:r>
            <w:r>
              <w:rPr>
                <w:rFonts w:ascii="Arial" w:hAnsi="Arial"/>
                <w:color w:val="000000"/>
                <w:sz w:val="18"/>
              </w:rPr>
              <w:t>par value, 1,880,000,000</w:t>
            </w:r>
            <w:r>
              <w:rPr>
                <w:rFonts w:ascii="Times New Roman" w:hAnsi="Times New Roman"/>
                <w:color w:val="000000"/>
                <w:sz w:val="20"/>
              </w:rPr>
              <w:t> </w:t>
            </w:r>
            <w:r>
              <w:rPr>
                <w:rFonts w:ascii="Arial" w:hAnsi="Arial"/>
                <w:color w:val="000000"/>
                <w:sz w:val="18"/>
              </w:rPr>
              <w:t>shares authorized, 82,665,641</w:t>
            </w:r>
            <w:r>
              <w:rPr>
                <w:rFonts w:ascii="Times New Roman" w:hAnsi="Times New Roman"/>
                <w:color w:val="000000"/>
                <w:sz w:val="20"/>
              </w:rPr>
              <w:t> </w:t>
            </w:r>
            <w:r>
              <w:rPr>
                <w:rFonts w:ascii="Arial" w:hAnsi="Arial"/>
                <w:color w:val="000000"/>
                <w:sz w:val="18"/>
              </w:rPr>
              <w:t>shares issued and outstanding and 82,828,704</w:t>
            </w:r>
            <w:r>
              <w:rPr>
                <w:rFonts w:ascii="Times New Roman" w:hAnsi="Times New Roman"/>
                <w:color w:val="000000"/>
                <w:sz w:val="20"/>
              </w:rPr>
              <w:t> </w:t>
            </w:r>
            <w:r>
              <w:rPr>
                <w:rFonts w:ascii="Arial" w:hAnsi="Arial"/>
                <w:color w:val="000000"/>
                <w:sz w:val="18"/>
              </w:rPr>
              <w:t>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Non-voting common stock, $0.01</w:t>
            </w:r>
            <w:r>
              <w:rPr>
                <w:rFonts w:ascii="Times New Roman" w:hAnsi="Times New Roman"/>
                <w:color w:val="000000"/>
                <w:sz w:val="20"/>
              </w:rPr>
              <w:t> </w:t>
            </w:r>
            <w:r>
              <w:rPr>
                <w:rFonts w:ascii="Arial" w:hAnsi="Arial"/>
                <w:color w:val="000000"/>
                <w:sz w:val="18"/>
              </w:rPr>
              <w:t>par value, 20,000,000</w:t>
            </w:r>
            <w:r>
              <w:rPr>
                <w:rFonts w:ascii="Times New Roman" w:hAnsi="Times New Roman"/>
                <w:color w:val="000000"/>
                <w:sz w:val="20"/>
              </w:rPr>
              <w:t> </w:t>
            </w:r>
            <w:r>
              <w:rPr>
                <w:rFonts w:ascii="Arial" w:hAnsi="Arial"/>
                <w:color w:val="000000"/>
                <w:sz w:val="18"/>
              </w:rPr>
              <w:t>shares</w:t>
              <w:br/>
              <w:t>   authorized, none</w:t>
            </w:r>
            <w:r>
              <w:rPr>
                <w:rFonts w:ascii="Times New Roman" w:hAnsi="Times New Roman"/>
                <w:color w:val="000000"/>
                <w:sz w:val="20"/>
              </w:rPr>
              <w:t> </w:t>
            </w:r>
            <w:r>
              <w:rPr>
                <w:rFonts w:ascii="Arial" w:hAnsi="Arial"/>
                <w:color w:val="000000"/>
                <w:sz w:val="18"/>
              </w:rPr>
              <w:t>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Preferred stock, $0.01</w:t>
            </w:r>
            <w:r>
              <w:rPr>
                <w:rFonts w:ascii="Times New Roman" w:hAnsi="Times New Roman"/>
                <w:color w:val="000000"/>
                <w:sz w:val="20"/>
              </w:rPr>
              <w:t> </w:t>
            </w:r>
            <w:r>
              <w:rPr>
                <w:rFonts w:ascii="Arial" w:hAnsi="Arial"/>
                <w:color w:val="000000"/>
                <w:sz w:val="18"/>
              </w:rPr>
              <w:t>par value, 100,000,000</w:t>
            </w:r>
            <w:r>
              <w:rPr>
                <w:rFonts w:ascii="Times New Roman" w:hAnsi="Times New Roman"/>
                <w:color w:val="000000"/>
                <w:sz w:val="20"/>
              </w:rPr>
              <w:t> </w:t>
            </w:r>
            <w:r>
              <w:rPr>
                <w:rFonts w:ascii="Arial" w:hAnsi="Arial"/>
                <w:color w:val="000000"/>
                <w:sz w:val="18"/>
              </w:rPr>
              <w:t>shares authorized, none</w:t>
              <w:br/>
              <w:t>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Retained earnings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Accumulated 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&amp;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8,717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7" w:name="condensed_consolidated_statements_compre"/>
      <w:bookmarkEnd w:id="7"/>
      <w:r>
        <w:rPr>
          <w:rFonts w:ascii="Arial" w:hAnsi="Arial"/>
          <w:b/>
          <w:color w:val="000000"/>
          <w:sz w:val="20"/>
        </w:rPr>
        <w:t>Condensed Consolidated Statements of Comprehensive Income</w:t>
      </w:r>
    </w:p>
    <w:p>
      <w:pPr>
        <w:pStyle w:val="TextBody"/>
        <w:bidi w:val="0"/>
        <w:jc w:val="center"/>
        <w:rPr>
          <w:rFonts w:ascii="Arial" w:hAnsi="Arial"/>
          <w:b/>
          <w:color w:val="000000"/>
          <w:sz w:val="20"/>
        </w:rPr>
      </w:pPr>
      <w:r>
        <w:rPr>
          <w:rFonts w:ascii="Arial" w:hAnsi="Arial"/>
          <w:b/>
          <w:color w:val="000000"/>
          <w:sz w:val="20"/>
        </w:rPr>
        <w:t>(unaudited, dollars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5"/>
        <w:gridCol w:w="146"/>
        <w:gridCol w:w="270"/>
        <w:gridCol w:w="751"/>
        <w:gridCol w:w="212"/>
        <w:gridCol w:w="186"/>
        <w:gridCol w:w="270"/>
        <w:gridCol w:w="617"/>
        <w:gridCol w:w="166"/>
        <w:gridCol w:w="146"/>
        <w:gridCol w:w="240"/>
        <w:gridCol w:w="667"/>
        <w:gridCol w:w="189"/>
        <w:gridCol w:w="166"/>
        <w:gridCol w:w="240"/>
        <w:gridCol w:w="667"/>
        <w:gridCol w:w="217"/>
      </w:tblGrid>
      <w:tr>
        <w:trPr/>
        <w:tc>
          <w:tcPr>
            <w:tcW w:w="5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Engineering —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8" w:name="condensed_consolidated_statements_cash_f"/>
      <w:bookmarkEnd w:id="8"/>
      <w:r>
        <w:rPr>
          <w:rFonts w:ascii="Arial" w:hAnsi="Arial"/>
          <w:b/>
          <w:color w:val="000000"/>
          <w:sz w:val="20"/>
        </w:rPr>
        <w:t>Condensed Consolidated Statements of Cash Flows</w:t>
      </w:r>
    </w:p>
    <w:p>
      <w:pPr>
        <w:pStyle w:val="TextBody"/>
        <w:bidi w:val="0"/>
        <w:spacing w:before="0" w:after="100"/>
        <w:jc w:val="center"/>
        <w:rPr>
          <w:rFonts w:ascii="Arial" w:hAnsi="Arial"/>
          <w:b/>
          <w:color w:val="000000"/>
          <w:sz w:val="20"/>
        </w:rPr>
      </w:pPr>
      <w:r>
        <w:rPr>
          <w:rFonts w:ascii="Arial" w:hAnsi="Arial"/>
          <w:b/>
          <w:color w:val="000000"/>
          <w:sz w:val="20"/>
        </w:rPr>
        <w:t>(unaudited, dollars in millions)</w:t>
      </w:r>
    </w:p>
    <w:tbl>
      <w:tblPr>
        <w:tblW w:w="10041" w:type="dxa"/>
        <w:jc w:val="left"/>
        <w:tblInd w:w="0" w:type="dxa"/>
        <w:tblLayout w:type="fixed"/>
        <w:tblCellMar>
          <w:top w:w="28" w:type="dxa"/>
          <w:left w:w="28" w:type="dxa"/>
          <w:bottom w:w="28" w:type="dxa"/>
          <w:right w:w="28" w:type="dxa"/>
        </w:tblCellMar>
      </w:tblPr>
      <w:tblGrid>
        <w:gridCol w:w="7156"/>
        <w:gridCol w:w="146"/>
        <w:gridCol w:w="255"/>
        <w:gridCol w:w="781"/>
        <w:gridCol w:w="200"/>
        <w:gridCol w:w="176"/>
        <w:gridCol w:w="255"/>
        <w:gridCol w:w="581"/>
        <w:gridCol w:w="491"/>
      </w:tblGrid>
      <w:tr>
        <w:trPr/>
        <w:tc>
          <w:tcPr>
            <w:tcW w:w="7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 net of effects of the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Business acquisition,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Additions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Proceeds from cross currency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Payments on cross 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Investment in equities without a readily determinable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Investment in equity method investee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used for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Issuance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Proceeds from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Payments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Debt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Taxes paid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cash provided by (used for)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399</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received from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expenditures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9" w:name="condensed_consolidated_statements_equity"/>
      <w:bookmarkEnd w:id="9"/>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(unaudited, dollars in millions)</w:t>
      </w:r>
    </w:p>
    <w:p>
      <w:pPr>
        <w:pStyle w:val="TextBody"/>
        <w:bidi w:val="0"/>
        <w:jc w:val="center"/>
        <w:rPr/>
      </w:pPr>
      <w:r>
        <w:rPr/>
        <w:t> </w:t>
      </w:r>
    </w:p>
    <w:tbl>
      <w:tblPr>
        <w:tblW w:w="11253" w:type="dxa"/>
        <w:jc w:val="left"/>
        <w:tblInd w:w="0" w:type="dxa"/>
        <w:tblLayout w:type="fixed"/>
        <w:tblCellMar>
          <w:top w:w="28" w:type="dxa"/>
          <w:left w:w="28" w:type="dxa"/>
          <w:bottom w:w="28" w:type="dxa"/>
          <w:right w:w="28" w:type="dxa"/>
        </w:tblCellMar>
      </w:tblPr>
      <w:tblGrid>
        <w:gridCol w:w="1616"/>
        <w:gridCol w:w="146"/>
        <w:gridCol w:w="318"/>
        <w:gridCol w:w="523"/>
        <w:gridCol w:w="146"/>
        <w:gridCol w:w="146"/>
        <w:gridCol w:w="381"/>
        <w:gridCol w:w="625"/>
        <w:gridCol w:w="146"/>
        <w:gridCol w:w="146"/>
        <w:gridCol w:w="312"/>
        <w:gridCol w:w="514"/>
        <w:gridCol w:w="146"/>
        <w:gridCol w:w="146"/>
        <w:gridCol w:w="211"/>
        <w:gridCol w:w="586"/>
        <w:gridCol w:w="146"/>
        <w:gridCol w:w="146"/>
        <w:gridCol w:w="361"/>
        <w:gridCol w:w="825"/>
        <w:gridCol w:w="166"/>
        <w:gridCol w:w="146"/>
        <w:gridCol w:w="411"/>
        <w:gridCol w:w="940"/>
        <w:gridCol w:w="166"/>
        <w:gridCol w:w="146"/>
        <w:gridCol w:w="317"/>
        <w:gridCol w:w="884"/>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 earnings (accumulated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 Comprehensive (Loss) 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($0.27</w:t>
            </w:r>
            <w:r>
              <w:rPr>
                <w:rFonts w:ascii="Times New Roman" w:hAnsi="Times New Roman"/>
                <w:color w:val="000000"/>
                <w:sz w:val="20"/>
              </w:rPr>
              <w:t> </w:t>
            </w:r>
            <w:r>
              <w:rPr>
                <w:rFonts w:ascii="Arial" w:hAnsi="Arial"/>
                <w:color w:val="000000"/>
                <w:sz w:val="20"/>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($0.29</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1,979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1273" w:type="dxa"/>
        <w:jc w:val="left"/>
        <w:tblInd w:w="0" w:type="dxa"/>
        <w:tblLayout w:type="fixed"/>
        <w:tblCellMar>
          <w:top w:w="28" w:type="dxa"/>
          <w:left w:w="28" w:type="dxa"/>
          <w:bottom w:w="28" w:type="dxa"/>
          <w:right w:w="28" w:type="dxa"/>
        </w:tblCellMar>
      </w:tblPr>
      <w:tblGrid>
        <w:gridCol w:w="1616"/>
        <w:gridCol w:w="146"/>
        <w:gridCol w:w="318"/>
        <w:gridCol w:w="523"/>
        <w:gridCol w:w="146"/>
        <w:gridCol w:w="146"/>
        <w:gridCol w:w="381"/>
        <w:gridCol w:w="625"/>
        <w:gridCol w:w="146"/>
        <w:gridCol w:w="146"/>
        <w:gridCol w:w="312"/>
        <w:gridCol w:w="514"/>
        <w:gridCol w:w="146"/>
        <w:gridCol w:w="146"/>
        <w:gridCol w:w="211"/>
        <w:gridCol w:w="586"/>
        <w:gridCol w:w="166"/>
        <w:gridCol w:w="146"/>
        <w:gridCol w:w="361"/>
        <w:gridCol w:w="825"/>
        <w:gridCol w:w="166"/>
        <w:gridCol w:w="146"/>
        <w:gridCol w:w="411"/>
        <w:gridCol w:w="940"/>
        <w:gridCol w:w="166"/>
        <w:gridCol w:w="146"/>
        <w:gridCol w:w="317"/>
        <w:gridCol w:w="884"/>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 earnings (accumulated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 Comprehensive (Loss) 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($0.54</w:t>
            </w:r>
            <w:r>
              <w:rPr>
                <w:rFonts w:ascii="Times New Roman" w:hAnsi="Times New Roman"/>
                <w:color w:val="000000"/>
                <w:sz w:val="20"/>
              </w:rPr>
              <w:t> </w:t>
            </w:r>
            <w:r>
              <w:rPr>
                <w:rFonts w:ascii="Arial" w:hAnsi="Arial"/>
                <w:color w:val="000000"/>
                <w:sz w:val="20"/>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($0.58</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1,979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0" w:name="notes_to_condensed_consolidated_financia"/>
      <w:bookmarkEnd w:id="10"/>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360" w:after="283"/>
        <w:jc w:val="left"/>
        <w:rPr>
          <w:rFonts w:ascii="Arial" w:hAnsi="Arial"/>
          <w:b/>
          <w:color w:val="000000"/>
          <w:sz w:val="20"/>
        </w:rPr>
      </w:pPr>
      <w:r>
        <w:rPr>
          <w:rFonts w:ascii="Arial" w:hAnsi="Arial"/>
          <w:b/>
          <w:color w:val="000000"/>
          <w:sz w:val="20"/>
        </w:rPr>
        <w:t>NOTE A. OVERVIEW</w:t>
      </w:r>
    </w:p>
    <w:p>
      <w:pPr>
        <w:pStyle w:val="TextBody"/>
        <w:bidi w:val="0"/>
        <w:spacing w:before="180" w:after="283"/>
        <w:jc w:val="left"/>
        <w:rPr>
          <w:rFonts w:ascii="Arial" w:hAnsi="Arial"/>
          <w:color w:val="000000"/>
          <w:sz w:val="20"/>
        </w:rPr>
      </w:pPr>
      <w:r>
        <w:rPr>
          <w:rFonts w:ascii="Arial" w:hAnsi="Arial"/>
          <w:color w:val="000000"/>
          <w:sz w:val="20"/>
        </w:rPr>
        <w:t>Allison Transmission Holdings, Inc. and its subsidiaries ("Allison" or the "Company”) is a global leader in high-performance mobility and work solutions built for the needs of the modern industrial world. Allison operates through two operating and reportable segments: Allison Transmission and Allison Off-Highway Drive &amp; Motion Systems ("Allison Off-Highway"). Headquartered in Indianapolis, Indiana, USA, the Company manufactures solutions which offer industry-leading value propositions across vital sectors such as infrastructure, mining, energy, agriculture, construction, transportation and national security.</w:t>
      </w:r>
    </w:p>
    <w:p>
      <w:pPr>
        <w:pStyle w:val="TextBody"/>
        <w:bidi w:val="0"/>
        <w:spacing w:before="180" w:after="283"/>
        <w:jc w:val="left"/>
        <w:rPr>
          <w:rFonts w:ascii="Times New Roman" w:hAnsi="Times New Roman"/>
          <w:sz w:val="20"/>
        </w:rPr>
      </w:pPr>
      <w:r>
        <w:rPr>
          <w:rFonts w:ascii="Arial" w:hAnsi="Arial"/>
          <w:color w:val="000000"/>
          <w:sz w:val="20"/>
        </w:rPr>
        <w:t>On January 1, 2026 (the "Closing Date"), the Company completed the acquisition of Dana Incorporated's ("Dana") off-highway business (the "Acquired Off-Highway Business”) for a purchase price of approximately $2,628</w:t>
      </w:r>
      <w:r>
        <w:rPr>
          <w:rFonts w:ascii="Times New Roman" w:hAnsi="Times New Roman"/>
          <w:color w:val="000000"/>
          <w:sz w:val="20"/>
        </w:rPr>
        <w:t xml:space="preserve"> </w:t>
      </w:r>
      <w:r>
        <w:rPr>
          <w:rFonts w:ascii="Arial" w:hAnsi="Arial"/>
          <w:color w:val="000000"/>
          <w:sz w:val="20"/>
        </w:rPr>
        <w:t>million (the "Acquisition"). As a result of the Acquisition, the Company now offers an expanded portfolio of drivetrain, motion and propulsion solutions, providing complementary product breadth and an enhanced ability to support global customers across multiple end markets. The Acquired Off-Highway Business has historically served end markets with demand characteristics that differ from Allison's traditional on-highway markets, contributing to a more diversified portfolio.</w:t>
      </w:r>
    </w:p>
    <w:p>
      <w:pPr>
        <w:pStyle w:val="TextBody"/>
        <w:bidi w:val="0"/>
        <w:spacing w:before="180" w:after="283"/>
        <w:jc w:val="left"/>
        <w:rPr>
          <w:rFonts w:ascii="Times New Roman" w:hAnsi="Times New Roman"/>
          <w:sz w:val="20"/>
        </w:rPr>
      </w:pPr>
      <w:r>
        <w:rPr>
          <w:rFonts w:ascii="Arial" w:hAnsi="Arial"/>
          <w:color w:val="000000"/>
          <w:sz w:val="20"/>
        </w:rPr>
        <w:t>Following the Acquisition, the Company continues to operate under the Allison name, but its operations are now comprised of two operating and reportable segments: Allison Transmission and Allison Off-Highway. Segment leadership is located globally, reflecting the international nature of the Company's operations and the importance of local market insights, sourcing, production and customer support. All prior period reportable segment information has been reclassified to conform to the current presentation. For additional discussion regarding the Company's segments, including the changes made, see “Note T. Segment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Allison Transmission serves customers through an independent global network of approximately 1,500</w:t>
      </w:r>
      <w:r>
        <w:rPr>
          <w:rFonts w:ascii="Times New Roman" w:hAnsi="Times New Roman"/>
          <w:color w:val="000000"/>
          <w:sz w:val="20"/>
        </w:rPr>
        <w:t xml:space="preserve"> </w:t>
      </w:r>
      <w:r>
        <w:rPr>
          <w:rFonts w:ascii="Arial" w:hAnsi="Arial"/>
          <w:color w:val="000000"/>
          <w:sz w:val="20"/>
        </w:rPr>
        <w:t>independent distributor and dealer locations worldwide and offers more than 200</w:t>
      </w:r>
      <w:r>
        <w:rPr>
          <w:rFonts w:ascii="Times New Roman" w:hAnsi="Times New Roman"/>
          <w:color w:val="000000"/>
          <w:sz w:val="20"/>
        </w:rPr>
        <w:t xml:space="preserve"> </w:t>
      </w:r>
      <w:r>
        <w:rPr>
          <w:rFonts w:ascii="Arial" w:hAnsi="Arial"/>
          <w:color w:val="000000"/>
          <w:sz w:val="20"/>
        </w:rPr>
        <w:t>different transmission models compatible with more than 500</w:t>
      </w:r>
      <w:r>
        <w:rPr>
          <w:rFonts w:ascii="Times New Roman" w:hAnsi="Times New Roman"/>
          <w:color w:val="000000"/>
          <w:sz w:val="20"/>
        </w:rPr>
        <w:t xml:space="preserve"> </w:t>
      </w:r>
      <w:r>
        <w:rPr>
          <w:rFonts w:ascii="Arial" w:hAnsi="Arial"/>
          <w:color w:val="000000"/>
          <w:sz w:val="20"/>
        </w:rPr>
        <w:t>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pStyle w:val="TextBody"/>
        <w:bidi w:val="0"/>
        <w:spacing w:before="18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pStyle w:val="TextBody"/>
        <w:bidi w:val="0"/>
        <w:spacing w:before="120" w:after="283"/>
        <w:jc w:val="left"/>
        <w:rPr>
          <w:rFonts w:ascii="Arial" w:hAnsi="Arial"/>
          <w:color w:val="000000"/>
          <w:sz w:val="20"/>
        </w:rPr>
      </w:pPr>
      <w:r>
        <w:rPr>
          <w:rFonts w:ascii="Arial" w:hAnsi="Arial"/>
          <w:color w:val="000000"/>
          <w:sz w:val="20"/>
        </w:rPr>
        <w:t>The Company has a global presence serving customers in North America, Asia, Europe, South America, and Africa, and has further expanded its operations in these regions as a result of the Acquisition.</w:t>
      </w:r>
    </w:p>
    <w:p>
      <w:pPr>
        <w:pStyle w:val="TextBody"/>
        <w:bidi w:val="0"/>
        <w:spacing w:before="18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B.</w:t>
      </w:r>
      <w:r>
        <w:rPr>
          <w:rFonts w:ascii="Times New Roman" w:hAnsi="Times New Roman"/>
          <w:color w:val="000000"/>
          <w:sz w:val="20"/>
        </w:rPr>
        <w:t xml:space="preserve"> </w:t>
      </w:r>
      <w:r>
        <w:rPr>
          <w:rFonts w:ascii="Arial" w:hAnsi="Arial"/>
          <w:b/>
          <w:color w:val="000000"/>
          <w:sz w:val="20"/>
        </w:rPr>
        <w:t>ACQUISITION</w:t>
      </w:r>
    </w:p>
    <w:p>
      <w:pPr>
        <w:pStyle w:val="TextBody"/>
        <w:bidi w:val="0"/>
        <w:spacing w:before="180" w:after="283"/>
        <w:jc w:val="left"/>
        <w:rPr>
          <w:rFonts w:ascii="Times New Roman" w:hAnsi="Times New Roman"/>
          <w:sz w:val="20"/>
        </w:rPr>
      </w:pPr>
      <w:r>
        <w:rPr>
          <w:rFonts w:ascii="Arial" w:hAnsi="Arial"/>
          <w:color w:val="000000"/>
          <w:sz w:val="20"/>
        </w:rPr>
        <w:t>On January 1, 2026, the Company completed the Acquisition for a purchase price of $2,628</w:t>
      </w:r>
      <w:r>
        <w:rPr>
          <w:rFonts w:ascii="Times New Roman" w:hAnsi="Times New Roman"/>
          <w:color w:val="000000"/>
          <w:sz w:val="20"/>
        </w:rPr>
        <w:t xml:space="preserve"> </w:t>
      </w:r>
      <w:r>
        <w:rPr>
          <w:rFonts w:ascii="Arial" w:hAnsi="Arial"/>
          <w:color w:val="000000"/>
          <w:sz w:val="20"/>
        </w:rPr>
        <w:t>million, subject to certain adjustments, using a combination of cash on hand, $500</w:t>
      </w:r>
      <w:r>
        <w:rPr>
          <w:rFonts w:ascii="Times New Roman" w:hAnsi="Times New Roman"/>
          <w:color w:val="000000"/>
          <w:sz w:val="20"/>
        </w:rPr>
        <w:t xml:space="preserve"> </w:t>
      </w:r>
      <w:r>
        <w:rPr>
          <w:rFonts w:ascii="Arial" w:hAnsi="Arial"/>
          <w:color w:val="000000"/>
          <w:sz w:val="20"/>
        </w:rPr>
        <w:t>million of proceeds from the issuance of the 5.875% Senior Notes due December 2033</w:t>
      </w:r>
      <w:r>
        <w:rPr>
          <w:rFonts w:ascii="Times New Roman" w:hAnsi="Times New Roman"/>
          <w:color w:val="000000"/>
          <w:sz w:val="20"/>
        </w:rPr>
        <w:t xml:space="preserve"> </w:t>
      </w:r>
      <w:r>
        <w:rPr>
          <w:rFonts w:ascii="Arial" w:hAnsi="Arial"/>
          <w:color w:val="000000"/>
          <w:sz w:val="20"/>
        </w:rPr>
        <w:t>("5.875% Senior Notes 2033") by Allison Transmission, Inc. ("ATI"), the Company’s wholly-owned subsidiary, proceeds from borrowings under an incremental term loan facility under the Second Amended and Restated Credit Agreement dated as of March 29, 2019, as amended (the “Credit Agreement”), in an aggregate principal amount equal to $1,200</w:t>
      </w:r>
      <w:r>
        <w:rPr>
          <w:rFonts w:ascii="Times New Roman" w:hAnsi="Times New Roman"/>
          <w:color w:val="000000"/>
          <w:sz w:val="20"/>
        </w:rPr>
        <w:t xml:space="preserve"> </w:t>
      </w:r>
      <w:r>
        <w:rPr>
          <w:rFonts w:ascii="Arial" w:hAnsi="Arial"/>
          <w:color w:val="000000"/>
          <w:sz w:val="20"/>
        </w:rPr>
        <w:t>million (the “Incremental Term Loan”) and $300</w:t>
      </w:r>
      <w:r>
        <w:rPr>
          <w:rFonts w:ascii="Times New Roman" w:hAnsi="Times New Roman"/>
          <w:color w:val="000000"/>
          <w:sz w:val="20"/>
        </w:rPr>
        <w:t xml:space="preserve"> </w:t>
      </w:r>
      <w:r>
        <w:rPr>
          <w:rFonts w:ascii="Arial" w:hAnsi="Arial"/>
          <w:color w:val="000000"/>
          <w:sz w:val="20"/>
        </w:rPr>
        <w:t>million of borrowings under ATI's revolving credit facility with commitments in the amount of $1,000</w:t>
      </w:r>
      <w:r>
        <w:rPr>
          <w:rFonts w:ascii="Times New Roman" w:hAnsi="Times New Roman"/>
          <w:color w:val="000000"/>
          <w:sz w:val="20"/>
        </w:rPr>
        <w:t xml:space="preserve"> </w:t>
      </w:r>
      <w:r>
        <w:rPr>
          <w:rFonts w:ascii="Arial" w:hAnsi="Arial"/>
          <w:color w:val="000000"/>
          <w:sz w:val="20"/>
        </w:rPr>
        <w:t>million due January 2031 (the “Revolving Credit Facility”). In connection with the Acquisition, the Company entered into a commitment letter with a group of lenders (the "Lenders"), pursuant to which the Lenders committed to provide a 364-day senior unsecured bridge term loan facility (the “Bridge Facility”), in an aggregate principal amount of up to $2,000</w:t>
      </w:r>
      <w:r>
        <w:rPr>
          <w:rFonts w:ascii="Times New Roman" w:hAnsi="Times New Roman"/>
          <w:color w:val="000000"/>
          <w:sz w:val="20"/>
        </w:rPr>
        <w:t xml:space="preserve"> </w:t>
      </w:r>
      <w:r>
        <w:rPr>
          <w:rFonts w:ascii="Arial" w:hAnsi="Arial"/>
          <w:color w:val="000000"/>
          <w:sz w:val="20"/>
        </w:rPr>
        <w:t>million. As of December 31, 2025, the Bridge Facility aggregate commitment principal amount had been reduced to $500</w:t>
      </w:r>
      <w:r>
        <w:rPr>
          <w:rFonts w:ascii="Times New Roman" w:hAnsi="Times New Roman"/>
          <w:color w:val="000000"/>
          <w:sz w:val="20"/>
        </w:rPr>
        <w:t xml:space="preserve"> </w:t>
      </w:r>
      <w:r>
        <w:rPr>
          <w:rFonts w:ascii="Arial" w:hAnsi="Arial"/>
          <w:color w:val="000000"/>
          <w:sz w:val="20"/>
        </w:rPr>
        <w:t>million as a result of the issuance of the 5.875% Senior Notes 2033 and the Company's election to voluntarily reduce the aggregate commitments under the Bridge Facility. No amount was drawn from the Bridge Facility and it was terminated upon the completion of the Acquisition on the Closing Date.</w:t>
      </w:r>
    </w:p>
    <w:p>
      <w:pPr>
        <w:pStyle w:val="TextBody"/>
        <w:bidi w:val="0"/>
        <w:spacing w:before="120" w:after="283"/>
        <w:jc w:val="left"/>
        <w:rPr>
          <w:rFonts w:ascii="Arial" w:hAnsi="Arial"/>
          <w:color w:val="000000"/>
          <w:sz w:val="20"/>
        </w:rPr>
      </w:pPr>
      <w:r>
        <w:rPr>
          <w:rFonts w:ascii="Arial" w:hAnsi="Arial"/>
          <w:color w:val="000000"/>
          <w:sz w:val="20"/>
        </w:rPr>
        <w:t>The Allison Off-Highway business is a leading provider of drivetrain and propulsion solutions. For segment reporting purposes, the Acquired Off-Highway Business comprises the entire Allison Off-Highway segment. The Company accounted for the Acquisition in accordance with authoritative accounting guidance on business combinations. The results of Allison Off-Highway have been included in the Company’s Condensed Consolidated Financial Statements from the Closing Date. See "Note T. Segment Information” for more details regarding Allison Off-Highway's results.</w:t>
      </w:r>
    </w:p>
    <w:p>
      <w:pPr>
        <w:pStyle w:val="TextBody"/>
        <w:bidi w:val="0"/>
        <w:spacing w:before="120" w:after="283"/>
        <w:jc w:val="left"/>
        <w:rPr>
          <w:rFonts w:ascii="Times New Roman" w:hAnsi="Times New Roman"/>
          <w:sz w:val="20"/>
        </w:rPr>
      </w:pPr>
      <w:r>
        <w:rPr>
          <w:rFonts w:ascii="Arial" w:hAnsi="Arial"/>
          <w:color w:val="000000"/>
          <w:sz w:val="20"/>
        </w:rPr>
        <w:t>On January 1, 2026, the Company transferred $2,664</w:t>
      </w:r>
      <w:r>
        <w:rPr>
          <w:rFonts w:ascii="Times New Roman" w:hAnsi="Times New Roman"/>
          <w:color w:val="000000"/>
          <w:sz w:val="20"/>
        </w:rPr>
        <w:t xml:space="preserve"> </w:t>
      </w:r>
      <w:r>
        <w:rPr>
          <w:rFonts w:ascii="Arial" w:hAnsi="Arial"/>
          <w:color w:val="000000"/>
          <w:sz w:val="20"/>
        </w:rPr>
        <w:t>million of cash consideration to Dana based on the preliminary closing statement, of which $2</w:t>
      </w:r>
      <w:r>
        <w:rPr>
          <w:rFonts w:ascii="Times New Roman" w:hAnsi="Times New Roman"/>
          <w:color w:val="000000"/>
          <w:sz w:val="20"/>
        </w:rPr>
        <w:t xml:space="preserve"> </w:t>
      </w:r>
      <w:r>
        <w:rPr>
          <w:rFonts w:ascii="Arial" w:hAnsi="Arial"/>
          <w:color w:val="000000"/>
          <w:sz w:val="20"/>
        </w:rPr>
        <w:t>million was attributed to the effective settlement of the pre-existing accounts payable balance. The cash portion of the purchase price was subject to adjustment based upon the final calculation of the acquired cash, indebtedness and working capital, as defined by the Stock Purchase Agreement, as amended, with Dana, as of the Closing Date. During the six months ended June 30, 2026, the Company recorded a subsequent $34</w:t>
      </w:r>
      <w:r>
        <w:rPr>
          <w:rFonts w:ascii="Times New Roman" w:hAnsi="Times New Roman"/>
          <w:color w:val="000000"/>
          <w:sz w:val="20"/>
        </w:rPr>
        <w:t xml:space="preserve"> </w:t>
      </w:r>
      <w:r>
        <w:rPr>
          <w:rFonts w:ascii="Arial" w:hAnsi="Arial"/>
          <w:color w:val="000000"/>
          <w:sz w:val="20"/>
        </w:rPr>
        <w:t>million decrease to the purchase price and received a cash payment from Dana of $34</w:t>
      </w:r>
      <w:r>
        <w:rPr>
          <w:rFonts w:ascii="Times New Roman" w:hAnsi="Times New Roman"/>
          <w:color w:val="000000"/>
          <w:sz w:val="20"/>
        </w:rPr>
        <w:t xml:space="preserve"> </w:t>
      </w:r>
      <w:r>
        <w:rPr>
          <w:rFonts w:ascii="Arial" w:hAnsi="Arial"/>
          <w:color w:val="000000"/>
          <w:sz w:val="20"/>
        </w:rPr>
        <w:t>million to reflect the net deficiency in cash, indebtedness and working capital, resulting in a final purchase price of $2,628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Assets acquired and liabilities assumed are recognized at their respective fair values as of the Closing Date. The process of estimating the fair values of certain tangible assets, identifiable intangible assets and assumed liabilities requires the use of judgment in determining the appropriate assumptions and estimates. The following table presents the preliminary purchase price allocation, including adjustments made during the quarter (measurement period adjustments) with corresponding changes to goodwill (dollars in millions):</w:t>
      </w:r>
    </w:p>
    <w:p>
      <w:pPr>
        <w:pStyle w:val="TextBody"/>
        <w:bidi w:val="0"/>
        <w:spacing w:before="18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15"/>
        <w:gridCol w:w="678"/>
        <w:gridCol w:w="1886"/>
        <w:gridCol w:w="146"/>
        <w:gridCol w:w="146"/>
        <w:gridCol w:w="654"/>
        <w:gridCol w:w="1690"/>
        <w:gridCol w:w="166"/>
        <w:gridCol w:w="146"/>
        <w:gridCol w:w="529"/>
        <w:gridCol w:w="1474"/>
        <w:gridCol w:w="475"/>
      </w:tblGrid>
      <w:tr>
        <w:trPr/>
        <w:tc>
          <w:tcPr>
            <w:tcW w:w="22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January 1, 2026 (as previously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Measurement Period Adjustments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January 1, 2026 (as adjusted)</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 acquired:</w:t>
            </w:r>
          </w:p>
        </w:tc>
        <w:tc>
          <w:tcPr>
            <w:tcW w:w="25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25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577</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1,155</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755</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Acquired</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3,785</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Assumed:</w:t>
            </w:r>
          </w:p>
        </w:tc>
        <w:tc>
          <w:tcPr>
            <w:tcW w:w="25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25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415</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warranty liability</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liabilities</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purchase price consideration</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sans-serif" w:hAnsi="sans-serif"/>
          <w:sz w:val="22"/>
        </w:rPr>
      </w:pPr>
      <w:r>
        <w:rPr>
          <w:rFonts w:ascii="Arial" w:hAnsi="Arial"/>
          <w:color w:val="000000"/>
          <w:sz w:val="20"/>
        </w:rPr>
        <w:t>The changes in the estimated fair values are primarily to better reflect market participant assumptions about facts and circumstances existing as of the acquisition date. The measurement period adjustments resulted in an $8</w:t>
      </w:r>
      <w:r>
        <w:rPr>
          <w:rFonts w:ascii="sans-serif" w:hAnsi="sans-serif"/>
          <w:color w:val="000000"/>
          <w:sz w:val="22"/>
        </w:rPr>
        <w:t xml:space="preserve"> </w:t>
      </w:r>
      <w:r>
        <w:rPr>
          <w:rFonts w:ascii="Arial" w:hAnsi="Arial"/>
          <w:color w:val="000000"/>
          <w:sz w:val="20"/>
        </w:rPr>
        <w:t xml:space="preserve">million net decrease to goodwill and did not have a material impact on the Company's earnings. The measurement period adjustments did not result from intervening events subsequent to the acquisition date.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preliminary fair values of the assets acquired and liabilities assumed in the Acquisition are subject to further change as the Company performs additional reviews of the assumptions utilized and as additional information related to the fair values of assets acquired, liabilities assumed, and tax implications thereon is assessed during the measurement period (up to one year from the Closing Date). Any such further adjustments will be accounted for prospectively. The final purchase accounting will be completed within the one-year measurement period following the Closing Date of the Acquisition.</w:t>
      </w:r>
    </w:p>
    <w:p>
      <w:pPr>
        <w:pStyle w:val="TextBody"/>
        <w:bidi w:val="0"/>
        <w:spacing w:before="120" w:after="283"/>
        <w:jc w:val="left"/>
        <w:rPr>
          <w:rFonts w:ascii="Times New Roman" w:hAnsi="Times New Roman"/>
          <w:sz w:val="20"/>
        </w:rPr>
      </w:pPr>
      <w:r>
        <w:rPr>
          <w:rFonts w:ascii="Arial" w:hAnsi="Arial"/>
          <w:color w:val="000000"/>
          <w:sz w:val="20"/>
        </w:rPr>
        <w:t>The Company measured contract assets and contract liabilities acquired by applying the revenue recognition principles in Financial Accounting Standards Board ("FASB") authoritative guidance on revenue from contracts with customers. Consequently, contract liabilities recorded as of the Closing Date represent the transaction price allocated to unsatisfied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As of the Closing Date, contract liabilities totaling $31</w:t>
      </w:r>
      <w:r>
        <w:rPr>
          <w:rFonts w:ascii="Times New Roman" w:hAnsi="Times New Roman"/>
          <w:color w:val="000000"/>
          <w:sz w:val="20"/>
        </w:rPr>
        <w:t xml:space="preserve"> </w:t>
      </w:r>
      <w:r>
        <w:rPr>
          <w:rFonts w:ascii="Arial" w:hAnsi="Arial"/>
          <w:color w:val="000000"/>
          <w:sz w:val="20"/>
        </w:rPr>
        <w:t>million and no</w:t>
      </w:r>
      <w:r>
        <w:rPr>
          <w:rFonts w:ascii="Times New Roman" w:hAnsi="Times New Roman"/>
          <w:color w:val="000000"/>
          <w:sz w:val="20"/>
        </w:rPr>
        <w:t xml:space="preserve"> </w:t>
      </w:r>
      <w:r>
        <w:rPr>
          <w:rFonts w:ascii="Arial" w:hAnsi="Arial"/>
          <w:color w:val="000000"/>
          <w:sz w:val="20"/>
        </w:rPr>
        <w:t>material contract assets were recognized as part of the Acquisition purchase price allocation. These amounts approximate those recognized by Dana prior to the Acquisition, reflecting the Company’s application of the related FASB authoritative guidance.</w:t>
      </w:r>
    </w:p>
    <w:p>
      <w:pPr>
        <w:pStyle w:val="TextBody"/>
        <w:bidi w:val="0"/>
        <w:spacing w:before="120" w:after="283"/>
        <w:jc w:val="left"/>
        <w:rPr>
          <w:rFonts w:ascii="Times New Roman" w:hAnsi="Times New Roman"/>
          <w:sz w:val="20"/>
        </w:rPr>
      </w:pPr>
      <w:r>
        <w:rPr>
          <w:rFonts w:ascii="Arial" w:hAnsi="Arial"/>
          <w:color w:val="000000"/>
          <w:sz w:val="20"/>
        </w:rPr>
        <w:t xml:space="preserve">Goodwill </w:t>
      </w:r>
      <w:r>
        <w:rPr>
          <w:rFonts w:ascii="Segoe UI;sans-serif" w:hAnsi="Segoe UI;sans-serif"/>
          <w:color w:val="000000"/>
          <w:sz w:val="21"/>
        </w:rPr>
        <w:t>r</w:t>
      </w:r>
      <w:r>
        <w:rPr>
          <w:rFonts w:ascii="Arial" w:hAnsi="Arial"/>
          <w:color w:val="000000"/>
          <w:sz w:val="20"/>
        </w:rPr>
        <w:t>epresents the excess of the fair value of consideration transferred over the fair values of assets acquired and liabilities assumed. An estimated $81</w:t>
      </w:r>
      <w:r>
        <w:rPr>
          <w:rFonts w:ascii="Times New Roman" w:hAnsi="Times New Roman"/>
          <w:color w:val="000000"/>
          <w:sz w:val="20"/>
        </w:rPr>
        <w:t xml:space="preserve"> </w:t>
      </w:r>
      <w:r>
        <w:rPr>
          <w:rFonts w:ascii="Arial" w:hAnsi="Arial"/>
          <w:color w:val="000000"/>
          <w:sz w:val="20"/>
        </w:rPr>
        <w:t>million of goodwill is expected to be deductible for income tax purposes. The allocation of goodwill to reporting units has not been completed as of June 30, 2026. The goodwill</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recognized is primarily attributable to expected future economic benefits, including the value of the assembled workforce, anticipated customer demand, continued development of acquired technologies, and operational synergies from the integration with Allison Transmission.</w:t>
      </w:r>
    </w:p>
    <w:p>
      <w:pPr>
        <w:pStyle w:val="TextBody"/>
        <w:bidi w:val="0"/>
        <w:spacing w:before="120" w:after="283"/>
        <w:jc w:val="left"/>
        <w:rPr>
          <w:rFonts w:ascii="Arial" w:hAnsi="Arial"/>
          <w:color w:val="000000"/>
          <w:sz w:val="20"/>
        </w:rPr>
      </w:pPr>
      <w:r>
        <w:rPr>
          <w:rFonts w:ascii="Arial" w:hAnsi="Arial"/>
          <w:color w:val="000000"/>
          <w:sz w:val="20"/>
        </w:rPr>
        <w:t>The estimated fair values of the identifiable intangible assets acquired (all considered Level 3 measurements), their weighted-average useful lives, the related valuation methodology and key assumptions are as follows (dollars in millions):</w:t>
      </w:r>
    </w:p>
    <w:tbl>
      <w:tblPr>
        <w:tblW w:w="10205" w:type="dxa"/>
        <w:jc w:val="left"/>
        <w:tblInd w:w="0" w:type="dxa"/>
        <w:tblLayout w:type="fixed"/>
        <w:tblCellMar>
          <w:top w:w="28" w:type="dxa"/>
          <w:left w:w="28" w:type="dxa"/>
          <w:bottom w:w="28" w:type="dxa"/>
          <w:right w:w="28" w:type="dxa"/>
        </w:tblCellMar>
      </w:tblPr>
      <w:tblGrid>
        <w:gridCol w:w="1907"/>
        <w:gridCol w:w="234"/>
        <w:gridCol w:w="467"/>
        <w:gridCol w:w="146"/>
        <w:gridCol w:w="146"/>
        <w:gridCol w:w="2202"/>
        <w:gridCol w:w="146"/>
        <w:gridCol w:w="1944"/>
        <w:gridCol w:w="146"/>
        <w:gridCol w:w="2867"/>
      </w:tblGrid>
      <w:tr>
        <w:trPr/>
        <w:tc>
          <w:tcPr>
            <w:tcW w:w="19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 estimated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Key Assumptions</w:t>
            </w:r>
          </w:p>
        </w:tc>
      </w:tr>
      <w:tr>
        <w:trPr/>
        <w:tc>
          <w:tcPr>
            <w:tcW w:w="190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tcBorders/>
            <w:shd w:fill="CCEC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 years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Multi-period excess earnings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estimated earnings, discount rate, customer attrition rates</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Relief-from-royalty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royalty rates, discount rate</w:t>
            </w:r>
          </w:p>
        </w:tc>
      </w:tr>
      <w:tr>
        <w:trPr/>
        <w:tc>
          <w:tcPr>
            <w:tcW w:w="190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2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02" w:type="dxa"/>
            <w:tcBorders/>
            <w:shd w:fill="CCEC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 years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Relief-from-royalty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royalty rates, discount rate, obsolescence factors</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identified intangible assets acquired</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Included in the Company's results for the three and six months ended June 30, 2026</w:t>
      </w:r>
      <w:r>
        <w:rPr>
          <w:rFonts w:ascii="Times New Roman" w:hAnsi="Times New Roman"/>
          <w:color w:val="000000"/>
          <w:sz w:val="20"/>
        </w:rPr>
        <w:t xml:space="preserve"> </w:t>
      </w:r>
      <w:r>
        <w:rPr>
          <w:rFonts w:ascii="Arial" w:hAnsi="Arial"/>
          <w:color w:val="000000"/>
          <w:sz w:val="20"/>
        </w:rPr>
        <w:t>were net sales of $706</w:t>
      </w:r>
      <w:r>
        <w:rPr>
          <w:rFonts w:ascii="Times New Roman" w:hAnsi="Times New Roman"/>
          <w:color w:val="000000"/>
          <w:sz w:val="20"/>
        </w:rPr>
        <w:t xml:space="preserve"> </w:t>
      </w:r>
      <w:r>
        <w:rPr>
          <w:rFonts w:ascii="Arial" w:hAnsi="Arial"/>
          <w:color w:val="000000"/>
          <w:sz w:val="20"/>
        </w:rPr>
        <w:t>million and $1,379</w:t>
      </w:r>
      <w:r>
        <w:rPr>
          <w:rFonts w:ascii="Times New Roman" w:hAnsi="Times New Roman"/>
          <w:color w:val="000000"/>
          <w:sz w:val="20"/>
        </w:rPr>
        <w:t xml:space="preserve"> </w:t>
      </w:r>
      <w:r>
        <w:rPr>
          <w:rFonts w:ascii="Arial" w:hAnsi="Arial"/>
          <w:color w:val="000000"/>
          <w:sz w:val="20"/>
        </w:rPr>
        <w:t>million, respectively, and $47</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respectively, of operating profit related to Allison Off-Highway. The Company recognized $9</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of Acquisition-related expenses during the three and six months ended June 30, 2026, respectively, and $15</w:t>
      </w:r>
      <w:r>
        <w:rPr>
          <w:rFonts w:ascii="Times New Roman" w:hAnsi="Times New Roman"/>
          <w:color w:val="000000"/>
          <w:sz w:val="20"/>
        </w:rPr>
        <w:t xml:space="preserve"> </w:t>
      </w:r>
      <w:r>
        <w:rPr>
          <w:rFonts w:ascii="Arial" w:hAnsi="Arial"/>
          <w:color w:val="000000"/>
          <w:sz w:val="20"/>
        </w:rPr>
        <w:t>million and $24</w:t>
      </w:r>
      <w:r>
        <w:rPr>
          <w:rFonts w:ascii="Times New Roman" w:hAnsi="Times New Roman"/>
          <w:color w:val="000000"/>
          <w:sz w:val="20"/>
        </w:rPr>
        <w:t xml:space="preserve"> </w:t>
      </w:r>
      <w:r>
        <w:rPr>
          <w:rFonts w:ascii="Arial" w:hAnsi="Arial"/>
          <w:color w:val="000000"/>
          <w:sz w:val="20"/>
        </w:rPr>
        <w:t>million during the three and six months ended June 30, 2025, respectively, which were recorded in Selling, general and administrative in the Company's Condensed Consolidated Statements of Comprehensive Income and primarily consisted of consulting and legal fees.</w:t>
      </w:r>
    </w:p>
    <w:p>
      <w:pPr>
        <w:pStyle w:val="TextBody"/>
        <w:bidi w:val="0"/>
        <w:spacing w:before="120" w:after="283"/>
        <w:jc w:val="left"/>
        <w:rPr>
          <w:rFonts w:ascii="Arial" w:hAnsi="Arial"/>
          <w:b/>
          <w:color w:val="000000"/>
          <w:sz w:val="20"/>
        </w:rPr>
      </w:pPr>
      <w:r>
        <w:rPr>
          <w:rFonts w:ascii="Arial" w:hAnsi="Arial"/>
          <w:b/>
          <w:color w:val="000000"/>
          <w:sz w:val="20"/>
        </w:rPr>
        <w:t>Supplemental Pro-Forma Information (unaudited)</w:t>
      </w:r>
    </w:p>
    <w:p>
      <w:pPr>
        <w:pStyle w:val="TextBody"/>
        <w:bidi w:val="0"/>
        <w:jc w:val="left"/>
        <w:rPr>
          <w:rFonts w:ascii="Times New Roman" w:hAnsi="Times New Roman"/>
          <w:sz w:val="20"/>
        </w:rPr>
      </w:pPr>
      <w:r>
        <w:rPr>
          <w:rFonts w:ascii="Arial" w:hAnsi="Arial"/>
          <w:color w:val="000000"/>
          <w:sz w:val="20"/>
        </w:rPr>
        <w:t>The following table presents supplemental pro-forma information for the three and six months ended June 30, 2026</w:t>
      </w:r>
      <w:r>
        <w:rPr>
          <w:rFonts w:ascii="Times New Roman" w:hAnsi="Times New Roman"/>
          <w:color w:val="000000"/>
          <w:sz w:val="20"/>
        </w:rPr>
        <w:t xml:space="preserve"> </w:t>
      </w:r>
      <w:r>
        <w:rPr>
          <w:rFonts w:ascii="Arial" w:hAnsi="Arial"/>
          <w:color w:val="000000"/>
          <w:sz w:val="20"/>
        </w:rPr>
        <w:t>as if the Acquisition had occurred on January 1, 2025. These amounts have been calculated after applying the Company's accounting policies and are based upon currently available information. The primary adjustments reflected in the pro-forma results relate to increased interest expense for debt used to fund the Acquisition, inclusion of Acquisition-related costs and the impact of purchase accounting adjustments primarily related to amortization of intangibles, depreciation of fixed assets and inventory step-up. Pre-Acquisition net sales and net income amounts for the Acquisition were derived from the books and records of the Acquired Off-Highway Business prepared prior to the Acquisition, are presented for informational purposes only and do not purport to be indicative of the results of future operations or of the results that would have been achieved had the Acquired Off-Highway Business been combined with the Company during the pre-Acquisition period presented.</w:t>
      </w:r>
    </w:p>
    <w:p>
      <w:pPr>
        <w:pStyle w:val="TextBody"/>
        <w:bidi w:val="0"/>
        <w:jc w:val="left"/>
        <w:rPr/>
      </w:pPr>
      <w:r>
        <w:rPr/>
        <w:t> </w:t>
      </w:r>
    </w:p>
    <w:tbl>
      <w:tblPr>
        <w:tblW w:w="5366" w:type="dxa"/>
        <w:jc w:val="left"/>
        <w:tblInd w:w="0" w:type="dxa"/>
        <w:tblLayout w:type="fixed"/>
        <w:tblCellMar>
          <w:top w:w="28" w:type="dxa"/>
          <w:left w:w="28" w:type="dxa"/>
          <w:bottom w:w="28" w:type="dxa"/>
          <w:right w:w="28" w:type="dxa"/>
        </w:tblCellMar>
      </w:tblPr>
      <w:tblGrid>
        <w:gridCol w:w="1111"/>
        <w:gridCol w:w="211"/>
        <w:gridCol w:w="586"/>
        <w:gridCol w:w="146"/>
        <w:gridCol w:w="146"/>
        <w:gridCol w:w="211"/>
        <w:gridCol w:w="586"/>
        <w:gridCol w:w="146"/>
        <w:gridCol w:w="146"/>
        <w:gridCol w:w="211"/>
        <w:gridCol w:w="586"/>
        <w:gridCol w:w="146"/>
        <w:gridCol w:w="146"/>
        <w:gridCol w:w="211"/>
        <w:gridCol w:w="586"/>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C.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120" w:after="283"/>
        <w:jc w:val="left"/>
        <w:rPr>
          <w:rFonts w:ascii="Arial" w:hAnsi="Arial"/>
          <w:color w:val="000000"/>
          <w:sz w:val="20"/>
        </w:rPr>
      </w:pPr>
      <w:r>
        <w:rPr>
          <w:rFonts w:ascii="Arial" w:hAnsi="Arial"/>
          <w:color w:val="000000"/>
          <w:sz w:val="20"/>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pStyle w:val="TextBody"/>
        <w:bidi w:val="0"/>
        <w:spacing w:before="120" w:after="283"/>
        <w:jc w:val="left"/>
        <w:rPr>
          <w:rFonts w:ascii="Arial" w:hAnsi="Arial"/>
          <w:color w:val="000000"/>
          <w:sz w:val="20"/>
        </w:rPr>
      </w:pPr>
      <w:r>
        <w:rPr>
          <w:rFonts w:ascii="Arial" w:hAnsi="Arial"/>
          <w:color w:val="000000"/>
          <w:sz w:val="20"/>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2025 as filed with the Securities and Exchange Commission on February 24, 2026. The interim period financial results for the three- and six-month periods presented are not necessarily indicative of results to be expected for any other interim period or for the entire year.</w:t>
      </w:r>
    </w:p>
    <w:p>
      <w:pPr>
        <w:pStyle w:val="TextBody"/>
        <w:bidi w:val="0"/>
        <w:spacing w:before="12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pStyle w:val="TextBody"/>
        <w:bidi w:val="0"/>
        <w:spacing w:before="120" w:after="283"/>
        <w:jc w:val="left"/>
        <w:rPr>
          <w:rFonts w:ascii="Arial" w:hAnsi="Arial"/>
          <w:b/>
          <w:i/>
          <w:color w:val="000000"/>
          <w:sz w:val="20"/>
        </w:rPr>
      </w:pPr>
      <w:r>
        <w:rPr>
          <w:rFonts w:ascii="Arial" w:hAnsi="Arial"/>
          <w:b/>
          <w:i/>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In November 2025, the FASB issued authoritative accounting guidance to amend certain aspects of the existing hedge accounting guidance to more closely align hedge accounting with the economics of an entity's risk management activities. The guidance will become effective for the Company beginning January 1, 2027 with early adoption permitted and will be applied prospectively. Management is currently evaluating the potential impact of this guidance on the Company's consolidated financial statements.</w:t>
      </w:r>
    </w:p>
    <w:p>
      <w:pPr>
        <w:pStyle w:val="TextBody"/>
        <w:bidi w:val="0"/>
        <w:spacing w:before="120" w:after="283"/>
        <w:jc w:val="left"/>
        <w:rPr>
          <w:rFonts w:ascii="Times New Roman" w:hAnsi="Times New Roman"/>
          <w:sz w:val="20"/>
        </w:rPr>
      </w:pPr>
      <w:r>
        <w:rPr>
          <w:rFonts w:ascii="Arial" w:hAnsi="Arial"/>
          <w:color w:val="000000"/>
          <w:sz w:val="20"/>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September 2025, the FASB issued authoritative accounting guidance to modernize the accounting for costs related to internal-use software. The new guidance removes the software project development stages and provides new guidance on evaluating if the probable-to-complete recognition threshold has been met. The guidance will become effective for the Company beginning January 1, 2028 with early adoption permitted. Upon adoption, the guidance may be applied prospectively, retrospectively or using a modified transition approach. Management is currently evaluating the potential impact of this guidance on the Company's consolidated financial statements.</w:t>
      </w:r>
    </w:p>
    <w:p>
      <w:pPr>
        <w:pStyle w:val="TextBody"/>
        <w:bidi w:val="0"/>
        <w:spacing w:before="120" w:after="283"/>
        <w:jc w:val="left"/>
        <w:rPr>
          <w:rFonts w:ascii="Times New Roman" w:hAnsi="Times New Roman"/>
          <w:sz w:val="20"/>
        </w:rPr>
      </w:pPr>
      <w:r>
        <w:rPr>
          <w:rFonts w:ascii="Arial" w:hAnsi="Arial"/>
          <w:color w:val="000000"/>
          <w:sz w:val="20"/>
        </w:rPr>
        <w:t>All other recently issued accounting pronouncements were assessed as either not applicable to the Company or were not expected to have a material impact on the Company's consolidated financial statements.</w:t>
      </w:r>
      <w:r>
        <w:rPr>
          <w:rFonts w:ascii="Times New Roman" w:hAnsi="Times New Roman"/>
          <w:color w:val="000000"/>
          <w:sz w:val="20"/>
        </w:rPr>
        <w:br/>
        <w:t> </w:t>
      </w:r>
    </w:p>
    <w:p>
      <w:pPr>
        <w:pStyle w:val="TextBody"/>
        <w:bidi w:val="0"/>
        <w:jc w:val="left"/>
        <w:rPr>
          <w:rFonts w:ascii="Arial" w:hAnsi="Arial"/>
          <w:b/>
          <w:color w:val="000000"/>
          <w:sz w:val="20"/>
        </w:rPr>
      </w:pPr>
      <w:r>
        <w:rPr>
          <w:rFonts w:ascii="Arial" w:hAnsi="Arial"/>
          <w:b/>
          <w:color w:val="000000"/>
          <w:sz w:val="20"/>
        </w:rPr>
        <w:t>NOTE D. REVENUE</w:t>
      </w:r>
    </w:p>
    <w:p>
      <w:pPr>
        <w:pStyle w:val="TextBody"/>
        <w:bidi w:val="0"/>
        <w:spacing w:before="120" w:after="283"/>
        <w:jc w:val="left"/>
        <w:rPr>
          <w:rFonts w:ascii="Arial" w:hAnsi="Arial"/>
          <w:color w:val="000000"/>
          <w:sz w:val="20"/>
        </w:rPr>
      </w:pPr>
      <w:r>
        <w:rPr>
          <w:rFonts w:ascii="Arial" w:hAnsi="Arial"/>
          <w:color w:val="000000"/>
          <w:sz w:val="20"/>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pStyle w:val="TextBody"/>
        <w:bidi w:val="0"/>
        <w:spacing w:before="120" w:after="283"/>
        <w:jc w:val="left"/>
        <w:rPr>
          <w:rFonts w:ascii="Arial" w:hAnsi="Arial"/>
          <w:color w:val="000000"/>
          <w:sz w:val="20"/>
        </w:rPr>
      </w:pPr>
      <w:r>
        <w:rPr>
          <w:rFonts w:ascii="Arial" w:hAnsi="Arial"/>
          <w:color w:val="000000"/>
          <w:sz w:val="20"/>
        </w:rPr>
        <w:t>Some of the Company's contracts include multiple performance obligations, most commonly the sale of both a transmission and extended transmission coverage or similar service-type warranties ("ETC"). The Company allocates the contract’s transaction price to each performance obligation based on the standalone selling price of each distinct good or service in the contract.</w:t>
      </w:r>
    </w:p>
    <w:p>
      <w:pPr>
        <w:pStyle w:val="TextBody"/>
        <w:bidi w:val="0"/>
        <w:spacing w:before="120" w:after="283"/>
        <w:jc w:val="left"/>
        <w:rPr>
          <w:rFonts w:ascii="Arial" w:hAnsi="Arial"/>
          <w:color w:val="000000"/>
          <w:sz w:val="20"/>
        </w:rPr>
      </w:pPr>
      <w:r>
        <w:rPr>
          <w:rFonts w:ascii="Arial" w:hAnsi="Arial"/>
          <w:color w:val="000000"/>
          <w:sz w:val="20"/>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other incentives based on the related sales and market conditions in the end market vocation. Refund liabilities related to rebates and other incentives are included in other accrued liabilities on the Company's Condensed Consolidated Balance Sheets.</w:t>
      </w:r>
    </w:p>
    <w:p>
      <w:pPr>
        <w:pStyle w:val="TextBody"/>
        <w:bidi w:val="0"/>
        <w:spacing w:before="120" w:after="283"/>
        <w:jc w:val="left"/>
        <w:rPr>
          <w:rFonts w:ascii="Times New Roman" w:hAnsi="Times New Roman"/>
          <w:sz w:val="20"/>
        </w:rPr>
      </w:pPr>
      <w:r>
        <w:rPr>
          <w:rFonts w:ascii="Arial" w:hAnsi="Arial"/>
          <w:color w:val="000000"/>
          <w:sz w:val="20"/>
        </w:rPr>
        <w:t>The Company recorded no</w:t>
      </w:r>
      <w:r>
        <w:rPr>
          <w:rFonts w:ascii="Times New Roman" w:hAnsi="Times New Roman"/>
          <w:color w:val="000000"/>
          <w:sz w:val="20"/>
        </w:rPr>
        <w:t xml:space="preserve"> </w:t>
      </w:r>
      <w:r>
        <w:rPr>
          <w:rFonts w:ascii="Arial" w:hAnsi="Arial"/>
          <w:color w:val="000000"/>
          <w:sz w:val="20"/>
        </w:rPr>
        <w:t>material adjustments based on variable consideration during any of the three or six months ended June 30, 2026 or 2025.</w:t>
      </w:r>
    </w:p>
    <w:p>
      <w:pPr>
        <w:pStyle w:val="TextBody"/>
        <w:bidi w:val="0"/>
        <w:spacing w:before="120" w:after="283"/>
        <w:jc w:val="left"/>
        <w:rPr>
          <w:rFonts w:ascii="Times New Roman" w:hAnsi="Times New Roman"/>
          <w:sz w:val="20"/>
        </w:rPr>
      </w:pPr>
      <w:r>
        <w:rPr>
          <w:rFonts w:ascii="Arial" w:hAnsi="Arial"/>
          <w:color w:val="000000"/>
          <w:sz w:val="20"/>
        </w:rPr>
        <w:t>Payment terms with our customers are established based on an assessment of the customer's credit worthiness and industry and regional practices and generally do not exceed 180</w:t>
      </w:r>
      <w:r>
        <w:rPr>
          <w:rFonts w:ascii="Times New Roman" w:hAnsi="Times New Roman"/>
          <w:color w:val="000000"/>
          <w:sz w:val="20"/>
        </w:rPr>
        <w:t xml:space="preserve"> </w:t>
      </w:r>
      <w:r>
        <w:rPr>
          <w:rFonts w:ascii="Arial" w:hAnsi="Arial"/>
          <w:color w:val="000000"/>
          <w:sz w:val="20"/>
        </w:rPr>
        <w:t>days. For certain goods or services, the Company receives consideration prior to satisfying the related performance obligation. Such consideration is recorded as a contract liability in current and non-current deferred revenue as of June 30, 2026 and December 31, 2025. See "Note K. Deferred Revenue” for more information, including the amount of revenue earned during each of the three and six months ended June 30, 2026 and 2025</w:t>
      </w:r>
      <w:r>
        <w:rPr>
          <w:rFonts w:ascii="Times New Roman" w:hAnsi="Times New Roman"/>
          <w:color w:val="000000"/>
          <w:sz w:val="20"/>
        </w:rPr>
        <w:t xml:space="preserve"> </w:t>
      </w:r>
      <w:r>
        <w:rPr>
          <w:rFonts w:ascii="Arial" w:hAnsi="Arial"/>
          <w:color w:val="000000"/>
          <w:sz w:val="20"/>
        </w:rPr>
        <w:t>that had been previously deferred. The Company had no</w:t>
      </w:r>
      <w:r>
        <w:rPr>
          <w:rFonts w:ascii="Times New Roman" w:hAnsi="Times New Roman"/>
          <w:color w:val="000000"/>
          <w:sz w:val="20"/>
        </w:rPr>
        <w:t xml:space="preserve"> </w:t>
      </w:r>
      <w:r>
        <w:rPr>
          <w:rFonts w:ascii="Arial" w:hAnsi="Arial"/>
          <w:color w:val="000000"/>
          <w:sz w:val="20"/>
        </w:rPr>
        <w:t>material contract assets as of either June 30, 2026 or December 31, 2025.</w:t>
      </w:r>
    </w:p>
    <w:p>
      <w:pPr>
        <w:pStyle w:val="TextBody"/>
        <w:bidi w:val="0"/>
        <w:spacing w:before="18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presents revenue from the Company's two reportable segments, Allison Transmission and Allison Off-Highway, disaggregated by each segment and its respective end markets that best depict how the nature, amount, timing and uncertainty of revenue and cash flows are affected by economic factors (dollars in millions):</w:t>
      </w:r>
    </w:p>
    <w:p>
      <w:pPr>
        <w:pStyle w:val="TextBody"/>
        <w:bidi w:val="0"/>
        <w:jc w:val="left"/>
        <w:rPr/>
      </w:pPr>
      <w:r>
        <w:rPr/>
        <w:t> </w:t>
      </w:r>
    </w:p>
    <w:tbl>
      <w:tblPr>
        <w:tblW w:w="8693" w:type="dxa"/>
        <w:jc w:val="left"/>
        <w:tblInd w:w="0" w:type="dxa"/>
        <w:tblLayout w:type="fixed"/>
        <w:tblCellMar>
          <w:top w:w="28" w:type="dxa"/>
          <w:left w:w="28" w:type="dxa"/>
          <w:bottom w:w="28" w:type="dxa"/>
          <w:right w:w="28" w:type="dxa"/>
        </w:tblCellMar>
      </w:tblPr>
      <w:tblGrid>
        <w:gridCol w:w="4146"/>
        <w:gridCol w:w="146"/>
        <w:gridCol w:w="215"/>
        <w:gridCol w:w="597"/>
        <w:gridCol w:w="148"/>
        <w:gridCol w:w="148"/>
        <w:gridCol w:w="215"/>
        <w:gridCol w:w="429"/>
        <w:gridCol w:w="146"/>
        <w:gridCol w:w="146"/>
        <w:gridCol w:w="211"/>
        <w:gridCol w:w="586"/>
        <w:gridCol w:w="146"/>
        <w:gridCol w:w="146"/>
        <w:gridCol w:w="211"/>
        <w:gridCol w:w="586"/>
        <w:gridCol w:w="47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Allison 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Outside 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Global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Service Parts, Support Equipment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Allison 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Allison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Construction &amp; Material Handling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Agriculture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Service Parts, Specialty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Allison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E. INVENTORIES</w:t>
      </w:r>
    </w:p>
    <w:p>
      <w:pPr>
        <w:pStyle w:val="TextBody"/>
        <w:bidi w:val="0"/>
        <w:spacing w:before="120" w:after="283"/>
        <w:jc w:val="left"/>
        <w:rPr>
          <w:rFonts w:ascii="Arial" w:hAnsi="Arial"/>
          <w:color w:val="000000"/>
          <w:sz w:val="20"/>
        </w:rPr>
      </w:pPr>
      <w:r>
        <w:rPr>
          <w:rFonts w:ascii="Arial" w:hAnsi="Arial"/>
          <w:color w:val="000000"/>
          <w:sz w:val="20"/>
        </w:rPr>
        <w:t>Inventories consisted of the following components (dollars in millions):</w:t>
      </w:r>
    </w:p>
    <w:tbl>
      <w:tblPr>
        <w:tblW w:w="5980" w:type="dxa"/>
        <w:jc w:val="left"/>
        <w:tblInd w:w="0" w:type="dxa"/>
        <w:tblLayout w:type="fixed"/>
        <w:tblCellMar>
          <w:top w:w="28" w:type="dxa"/>
          <w:left w:w="28" w:type="dxa"/>
          <w:bottom w:w="28" w:type="dxa"/>
          <w:right w:w="28" w:type="dxa"/>
        </w:tblCellMar>
      </w:tblPr>
      <w:tblGrid>
        <w:gridCol w:w="3136"/>
        <w:gridCol w:w="146"/>
        <w:gridCol w:w="255"/>
        <w:gridCol w:w="510"/>
        <w:gridCol w:w="146"/>
        <w:gridCol w:w="146"/>
        <w:gridCol w:w="389"/>
        <w:gridCol w:w="781"/>
        <w:gridCol w:w="47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Purchased parts and 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 and service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M. Other Current Liabilities” for more information.</w:t>
      </w:r>
    </w:p>
    <w:p>
      <w:pPr>
        <w:pStyle w:val="TextBody"/>
        <w:bidi w:val="0"/>
        <w:spacing w:before="360" w:after="283"/>
        <w:jc w:val="left"/>
        <w:rPr>
          <w:rFonts w:ascii="Arial" w:hAnsi="Arial"/>
          <w:b/>
          <w:color w:val="000000"/>
          <w:sz w:val="20"/>
        </w:rPr>
      </w:pPr>
      <w:r>
        <w:rPr>
          <w:rFonts w:ascii="Arial" w:hAnsi="Arial"/>
          <w:b/>
          <w:color w:val="000000"/>
          <w:sz w:val="20"/>
        </w:rPr>
        <w:t>NOTE F. GOODWILL AND OTHER INTANGIBLE ASSETS</w:t>
      </w:r>
    </w:p>
    <w:p>
      <w:pPr>
        <w:pStyle w:val="TextBody"/>
        <w:bidi w:val="0"/>
        <w:spacing w:before="120" w:after="283"/>
        <w:jc w:val="left"/>
        <w:rPr>
          <w:rFonts w:ascii="Times New Roman" w:hAnsi="Times New Roman"/>
          <w:sz w:val="20"/>
        </w:rPr>
      </w:pPr>
      <w:r>
        <w:rPr>
          <w:rFonts w:ascii="Arial" w:hAnsi="Arial"/>
          <w:color w:val="000000"/>
          <w:sz w:val="20"/>
        </w:rPr>
        <w:t>As of June 30, 2026 and December 31, 2025, the carrying value of the Company’s Goodwill was $2,812</w:t>
      </w:r>
      <w:r>
        <w:rPr>
          <w:rFonts w:ascii="Times New Roman" w:hAnsi="Times New Roman"/>
          <w:color w:val="000000"/>
          <w:sz w:val="20"/>
        </w:rPr>
        <w:t xml:space="preserve"> </w:t>
      </w:r>
      <w:r>
        <w:rPr>
          <w:rFonts w:ascii="Arial" w:hAnsi="Arial"/>
          <w:color w:val="000000"/>
          <w:sz w:val="20"/>
        </w:rPr>
        <w:t>million and $2,075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r>
        <w:rPr>
          <w:rFonts w:ascii="Arial" w:hAnsi="Arial"/>
          <w:color w:val="000000"/>
          <w:sz w:val="20"/>
        </w:rPr>
        <w:t>The following presents a summary of the changes in the carrying amount of Goodwill (dollars in millions):</w:t>
      </w:r>
    </w:p>
    <w:tbl>
      <w:tblPr>
        <w:tblW w:w="4469" w:type="dxa"/>
        <w:jc w:val="left"/>
        <w:tblInd w:w="0" w:type="dxa"/>
        <w:tblLayout w:type="fixed"/>
        <w:tblCellMar>
          <w:top w:w="28" w:type="dxa"/>
          <w:left w:w="28" w:type="dxa"/>
          <w:bottom w:w="28" w:type="dxa"/>
          <w:right w:w="28" w:type="dxa"/>
        </w:tblCellMar>
      </w:tblPr>
      <w:tblGrid>
        <w:gridCol w:w="3286"/>
        <w:gridCol w:w="146"/>
        <w:gridCol w:w="218"/>
        <w:gridCol w:w="608"/>
        <w:gridCol w:w="2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Goodwill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Acquired Off-Highway business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impact to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(1) The allocation of goodwill to reporting units as of June 30, 2026 is preliminary and will be finalized upon finalization of purchase price accounting.</w:t>
      </w:r>
    </w:p>
    <w:p>
      <w:pPr>
        <w:pStyle w:val="TextBody"/>
        <w:bidi w:val="0"/>
        <w:spacing w:before="120" w:after="283"/>
        <w:jc w:val="left"/>
        <w:rPr>
          <w:rFonts w:ascii="Arial" w:hAnsi="Arial"/>
          <w:color w:val="000000"/>
          <w:sz w:val="20"/>
        </w:rPr>
      </w:pPr>
      <w:r>
        <w:rPr>
          <w:rFonts w:ascii="Arial" w:hAnsi="Arial"/>
          <w:color w:val="000000"/>
          <w:sz w:val="20"/>
        </w:rPr>
        <w:t>The following presents a summary of other intangible assets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5"/>
        <w:gridCol w:w="146"/>
        <w:gridCol w:w="255"/>
        <w:gridCol w:w="712"/>
        <w:gridCol w:w="146"/>
        <w:gridCol w:w="146"/>
        <w:gridCol w:w="284"/>
        <w:gridCol w:w="872"/>
        <w:gridCol w:w="166"/>
        <w:gridCol w:w="146"/>
        <w:gridCol w:w="241"/>
        <w:gridCol w:w="674"/>
        <w:gridCol w:w="146"/>
        <w:gridCol w:w="146"/>
        <w:gridCol w:w="255"/>
        <w:gridCol w:w="712"/>
        <w:gridCol w:w="146"/>
        <w:gridCol w:w="146"/>
        <w:gridCol w:w="284"/>
        <w:gridCol w:w="872"/>
        <w:gridCol w:w="166"/>
        <w:gridCol w:w="146"/>
        <w:gridCol w:w="305"/>
        <w:gridCol w:w="611"/>
        <w:gridCol w:w="477"/>
      </w:tblGrid>
      <w:tr>
        <w:trPr/>
        <w:tc>
          <w:tcPr>
            <w:tcW w:w="2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 - 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 - 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 —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Proprietary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Amortization expense related to other intangible assets for the next five fiscal years is expected to be (dollars in millions):</w:t>
      </w:r>
    </w:p>
    <w:p>
      <w:pPr>
        <w:pStyle w:val="TextBody"/>
        <w:bidi w:val="0"/>
        <w:jc w:val="left"/>
        <w:rPr/>
      </w:pPr>
      <w:r>
        <w:rPr/>
        <w:t> </w:t>
      </w:r>
    </w:p>
    <w:tbl>
      <w:tblPr>
        <w:tblW w:w="7359" w:type="dxa"/>
        <w:jc w:val="left"/>
        <w:tblInd w:w="0" w:type="dxa"/>
        <w:tblLayout w:type="fixed"/>
        <w:tblCellMar>
          <w:top w:w="28" w:type="dxa"/>
          <w:left w:w="28" w:type="dxa"/>
          <w:bottom w:w="28" w:type="dxa"/>
          <w:right w:w="28" w:type="dxa"/>
        </w:tblCellMar>
      </w:tblPr>
      <w:tblGrid>
        <w:gridCol w:w="2011"/>
        <w:gridCol w:w="146"/>
        <w:gridCol w:w="211"/>
        <w:gridCol w:w="316"/>
        <w:gridCol w:w="146"/>
        <w:gridCol w:w="146"/>
        <w:gridCol w:w="211"/>
        <w:gridCol w:w="316"/>
        <w:gridCol w:w="146"/>
        <w:gridCol w:w="146"/>
        <w:gridCol w:w="211"/>
        <w:gridCol w:w="316"/>
        <w:gridCol w:w="146"/>
        <w:gridCol w:w="146"/>
        <w:gridCol w:w="211"/>
        <w:gridCol w:w="316"/>
        <w:gridCol w:w="146"/>
        <w:gridCol w:w="146"/>
        <w:gridCol w:w="211"/>
        <w:gridCol w:w="316"/>
        <w:gridCol w:w="146"/>
        <w:gridCol w:w="146"/>
        <w:gridCol w:w="305"/>
        <w:gridCol w:w="6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G. FAIR VALUE OF FINANCIAL INSTRUMENTS</w:t>
      </w:r>
    </w:p>
    <w:p>
      <w:pPr>
        <w:pStyle w:val="TextBody"/>
        <w:bidi w:val="0"/>
        <w:spacing w:before="180" w:after="283"/>
        <w:jc w:val="left"/>
        <w:rPr>
          <w:rFonts w:ascii="Arial" w:hAnsi="Arial"/>
          <w:color w:val="000000"/>
          <w:sz w:val="20"/>
        </w:rPr>
      </w:pPr>
      <w:r>
        <w:rPr>
          <w:rFonts w:ascii="Arial" w:hAnsi="Arial"/>
          <w:color w:val="000000"/>
          <w:sz w:val="20"/>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pStyle w:val="TextBody"/>
        <w:bidi w:val="0"/>
        <w:spacing w:before="180" w:after="283"/>
        <w:jc w:val="left"/>
        <w:rPr>
          <w:rFonts w:ascii="Times New Roman" w:hAnsi="Times New Roman"/>
          <w:sz w:val="20"/>
        </w:rPr>
      </w:pPr>
      <w:r>
        <w:rPr>
          <w:rFonts w:ascii="Arial" w:hAnsi="Arial"/>
          <w:color w:val="000000"/>
          <w:sz w:val="20"/>
        </w:rPr>
        <w:t>Level 1 — Quoted prices are available in active markets for identical assets or liabilities as of the reporting date.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pStyle w:val="TextBody"/>
        <w:bidi w:val="0"/>
        <w:spacing w:before="120" w:after="283"/>
        <w:jc w:val="left"/>
        <w:rPr>
          <w:rFonts w:ascii="Arial" w:hAnsi="Arial"/>
          <w:color w:val="000000"/>
          <w:sz w:val="20"/>
        </w:rPr>
      </w:pPr>
      <w:r>
        <w:rPr>
          <w:rFonts w:ascii="Arial" w:hAnsi="Arial"/>
          <w:color w:val="000000"/>
          <w:sz w:val="20"/>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2026 and December 31, 2025, the Company did not have any Level 3 financial assets or liabilities.</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Company’s financial assets and (liabilities) measured at fair value as of June 30, 2026 and December 31, 2025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2"/>
        <w:gridCol w:w="146"/>
        <w:gridCol w:w="256"/>
        <w:gridCol w:w="457"/>
        <w:gridCol w:w="199"/>
        <w:gridCol w:w="175"/>
        <w:gridCol w:w="363"/>
        <w:gridCol w:w="730"/>
        <w:gridCol w:w="166"/>
        <w:gridCol w:w="146"/>
        <w:gridCol w:w="256"/>
        <w:gridCol w:w="457"/>
        <w:gridCol w:w="173"/>
        <w:gridCol w:w="153"/>
        <w:gridCol w:w="414"/>
        <w:gridCol w:w="679"/>
        <w:gridCol w:w="146"/>
        <w:gridCol w:w="146"/>
        <w:gridCol w:w="256"/>
        <w:gridCol w:w="457"/>
        <w:gridCol w:w="166"/>
        <w:gridCol w:w="146"/>
        <w:gridCol w:w="363"/>
        <w:gridCol w:w="730"/>
        <w:gridCol w:w="483"/>
      </w:tblGrid>
      <w:tr>
        <w:trPr/>
        <w:tc>
          <w:tcPr>
            <w:tcW w:w="2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 Prices in Active</w:t>
              <w:br/>
              <w:t>Markets for Identical</w:t>
              <w:br/>
              <w:t>Assets (Level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Rabbi trust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compensation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5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and liabilities is as follows: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Cash equivalents consist primarily of short-term U.S. government backed securities and time deposits.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Marketable securities consist of publicly traded stock of Jing-Jin Electric Technologies Co. Ltd., which has a readily determinable fair value.</w:t>
      </w:r>
    </w:p>
    <w:p>
      <w:pPr>
        <w:pStyle w:val="TextBody"/>
        <w:bidi w:val="0"/>
        <w:spacing w:before="18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Rabbi trust assets consist principally of publicly available mutual funds and target date retirement funds.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Deferred compensation obligation is directly related to the fair value of assets held in the rabbi trust.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description of the Company’s Level 2 assets and liabilities is as follows: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Derivative assets and liabilities consist of cross-currency swaps designated as hedging instruments against a net investment in the Company's euro-functional subsidiaries. The Company measures the fair value of its cross-currency swaps using discounted cash flow calculations based upon observable forward interest-rate yield curves. See "Note H. Derivatives" for more information regarding the Company's cross-currency swaps.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 xml:space="preserve">Debt securities are classified as available-for-sale and qualify as Level 2 in the fair value hierarchy. </w:t>
      </w:r>
    </w:p>
    <w:p>
      <w:pPr>
        <w:pStyle w:val="TextBody"/>
        <w:bidi w:val="0"/>
        <w:jc w:val="left"/>
        <w:rPr>
          <w:rFonts w:ascii="Times New Roman" w:hAnsi="Times New Roman"/>
          <w:sz w:val="20"/>
        </w:rPr>
      </w:pPr>
      <w:r>
        <w:rPr>
          <w:rFonts w:ascii="Arial" w:hAnsi="Arial"/>
          <w:color w:val="000000"/>
          <w:sz w:val="20"/>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(expense) income, net in the Condensed Consolidated Statements of Comprehensive Income. As of June 30, 2026 and December 31, 2025, the Company held equity securities without a readily determinable fair value of $10</w:t>
      </w:r>
      <w:r>
        <w:rPr>
          <w:rFonts w:ascii="Times New Roman" w:hAnsi="Times New Roman"/>
          <w:color w:val="000000"/>
          <w:sz w:val="20"/>
        </w:rPr>
        <w:t xml:space="preserve"> </w:t>
      </w:r>
      <w:r>
        <w:rPr>
          <w:rFonts w:ascii="Arial" w:hAnsi="Arial"/>
          <w:color w:val="000000"/>
          <w:sz w:val="20"/>
        </w:rPr>
        <w:t>million and $8</w:t>
      </w:r>
      <w:r>
        <w:rPr>
          <w:rFonts w:ascii="Times New Roman" w:hAnsi="Times New Roman"/>
          <w:color w:val="000000"/>
          <w:sz w:val="20"/>
        </w:rPr>
        <w:t xml:space="preserve"> </w:t>
      </w:r>
      <w:r>
        <w:rPr>
          <w:rFonts w:ascii="Arial" w:hAnsi="Arial"/>
          <w:color w:val="000000"/>
          <w:sz w:val="20"/>
        </w:rPr>
        <w:t>million, respectively. During the three and six months ended June 30, 2026, no</w:t>
      </w:r>
      <w:r>
        <w:rPr>
          <w:rFonts w:ascii="Times New Roman" w:hAnsi="Times New Roman"/>
          <w:color w:val="000000"/>
          <w:sz w:val="20"/>
        </w:rPr>
        <w:t xml:space="preserve"> </w:t>
      </w:r>
      <w:r>
        <w:rPr>
          <w:rFonts w:ascii="Arial" w:hAnsi="Arial"/>
          <w:color w:val="000000"/>
          <w:sz w:val="20"/>
        </w:rPr>
        <w:t>impairment charges or adjustments resulting from observable price changes in orderly transactions for identical or similar investments of the same issuer occurred for any of these investments.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H. DERIVATIVES</w:t>
      </w:r>
    </w:p>
    <w:p>
      <w:pPr>
        <w:pStyle w:val="TextBody"/>
        <w:bidi w:val="0"/>
        <w:spacing w:before="120" w:after="283"/>
        <w:jc w:val="left"/>
        <w:rPr>
          <w:rFonts w:ascii="Arial" w:hAnsi="Arial"/>
          <w:color w:val="000000"/>
          <w:sz w:val="20"/>
        </w:rPr>
      </w:pPr>
      <w:r>
        <w:rPr>
          <w:rFonts w:ascii="Arial" w:hAnsi="Arial"/>
          <w:color w:val="000000"/>
          <w:sz w:val="20"/>
        </w:rPr>
        <w:t>The Company has global operations and utilizes derivative instruments to reduce its foreign exchange risk. As of June 30, 2026, the Company held cross-currency swap contracts that, in the aggregate, effectively hedge $1,000 million of the euro exposure associated with the Company's net investment in its euro-functional subsidiaries and expire over a seven-year period. The cross-currency swaps are a portfolio of designated hedging instruments that qualify for hedge accounting under the net investment hedge model using the spot method. Fair value adjustments of the Company's cross-currency swaps are recorded as foreign currency translation, a component of Accumulated other comprehensive loss, net of tax (“AOCL”), in the Condensed Consolidated Balance Sheets. Under the spot method, the hedge effectiveness is based solely on the changes in the spot foreign exchange rates, and it excludes the interest rate differential of the receive-fixed, pay-fixed cross-currency swaps. The effective portion is recorded in AOCL and will remain in AOCL until the corresponding net investments are sold or substantially liquidated. The excluded portion, the interest rate differential, is amortized into earnings using a systematic and rational method over the life of the derivative instrument.</w:t>
      </w:r>
    </w:p>
    <w:p>
      <w:pPr>
        <w:pStyle w:val="TextBody"/>
        <w:bidi w:val="0"/>
        <w:spacing w:before="120" w:after="283"/>
        <w:jc w:val="left"/>
        <w:rPr>
          <w:rFonts w:ascii="Times New Roman" w:hAnsi="Times New Roman"/>
          <w:sz w:val="20"/>
        </w:rPr>
      </w:pPr>
      <w:r>
        <w:rPr>
          <w:rFonts w:ascii="Arial" w:hAnsi="Arial"/>
          <w:color w:val="000000"/>
          <w:sz w:val="20"/>
        </w:rPr>
        <w:t>During the six months ended June 30, 2026, the Company received $4</w:t>
      </w:r>
      <w:r>
        <w:rPr>
          <w:rFonts w:ascii="Times New Roman" w:hAnsi="Times New Roman"/>
          <w:color w:val="000000"/>
          <w:sz w:val="20"/>
        </w:rPr>
        <w:t xml:space="preserve"> </w:t>
      </w:r>
      <w:r>
        <w:rPr>
          <w:rFonts w:ascii="Arial" w:hAnsi="Arial"/>
          <w:color w:val="000000"/>
          <w:sz w:val="20"/>
        </w:rPr>
        <w:t>million and paid $4</w:t>
      </w:r>
      <w:r>
        <w:rPr>
          <w:rFonts w:ascii="Times New Roman" w:hAnsi="Times New Roman"/>
          <w:color w:val="000000"/>
          <w:sz w:val="20"/>
        </w:rPr>
        <w:t xml:space="preserve"> </w:t>
      </w:r>
      <w:r>
        <w:rPr>
          <w:rFonts w:ascii="Arial" w:hAnsi="Arial"/>
          <w:color w:val="000000"/>
          <w:sz w:val="20"/>
        </w:rPr>
        <w:t>million of cash interest rate settlements. The Company records these interest rate settlements as investing activities based on the nature of the derivative itself.</w:t>
      </w:r>
    </w:p>
    <w:p>
      <w:pPr>
        <w:pStyle w:val="TextBody"/>
        <w:bidi w:val="0"/>
        <w:spacing w:before="120" w:after="283"/>
        <w:jc w:val="left"/>
        <w:rPr>
          <w:rFonts w:ascii="Times New Roman" w:hAnsi="Times New Roman"/>
          <w:sz w:val="20"/>
        </w:rPr>
      </w:pPr>
      <w:r>
        <w:rPr>
          <w:rFonts w:ascii="Arial" w:hAnsi="Arial"/>
          <w:color w:val="000000"/>
          <w:sz w:val="20"/>
        </w:rPr>
        <w:t>During each of the three and six months ended June 30, 2026, the Company reclassified $1</w:t>
      </w:r>
      <w:r>
        <w:rPr>
          <w:rFonts w:ascii="Times New Roman" w:hAnsi="Times New Roman"/>
          <w:color w:val="000000"/>
          <w:sz w:val="20"/>
        </w:rPr>
        <w:t xml:space="preserve"> </w:t>
      </w:r>
      <w:r>
        <w:rPr>
          <w:rFonts w:ascii="Arial" w:hAnsi="Arial"/>
          <w:color w:val="000000"/>
          <w:sz w:val="20"/>
        </w:rPr>
        <w:t>million of cross-currency swap interest rate settlement gains from AOCL into Interest expense, net. See "Note G. Fair Value of Financial Instruments” for information regarding the fair value of the Company’s cross-currency swaps.</w:t>
      </w:r>
    </w:p>
    <w:p>
      <w:pPr>
        <w:pStyle w:val="TextBody"/>
        <w:bidi w:val="0"/>
        <w:spacing w:before="120" w:after="283"/>
        <w:jc w:val="left"/>
        <w:rPr>
          <w:rFonts w:ascii="Arial" w:hAnsi="Arial"/>
          <w:color w:val="000000"/>
          <w:sz w:val="20"/>
        </w:rPr>
      </w:pPr>
      <w:r>
        <w:rPr>
          <w:rFonts w:ascii="Arial" w:hAnsi="Arial"/>
          <w:color w:val="000000"/>
          <w:sz w:val="20"/>
        </w:rPr>
        <w:t>The following tabular disclosures further describe the Company’s cross-currency swap derivatives qualifying and designated for hedge accounting and their impact on the financial condition of the Company (dollars in millions):</w:t>
      </w:r>
    </w:p>
    <w:tbl>
      <w:tblPr>
        <w:tblW w:w="7197" w:type="dxa"/>
        <w:jc w:val="left"/>
        <w:tblInd w:w="0" w:type="dxa"/>
        <w:tblLayout w:type="fixed"/>
        <w:tblCellMar>
          <w:top w:w="28" w:type="dxa"/>
          <w:left w:w="28" w:type="dxa"/>
          <w:bottom w:w="28" w:type="dxa"/>
          <w:right w:w="28" w:type="dxa"/>
        </w:tblCellMar>
      </w:tblPr>
      <w:tblGrid>
        <w:gridCol w:w="2056"/>
        <w:gridCol w:w="146"/>
        <w:gridCol w:w="2431"/>
        <w:gridCol w:w="146"/>
        <w:gridCol w:w="306"/>
        <w:gridCol w:w="459"/>
        <w:gridCol w:w="146"/>
        <w:gridCol w:w="146"/>
        <w:gridCol w:w="443"/>
        <w:gridCol w:w="727"/>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Cross-currency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The balance of net derivative losses recorded in AOCL as of June 30, 2026 was $6</w:t>
      </w:r>
      <w:r>
        <w:rPr>
          <w:rFonts w:ascii="Times New Roman" w:hAnsi="Times New Roman"/>
          <w:color w:val="000000"/>
          <w:sz w:val="20"/>
        </w:rPr>
        <w:t xml:space="preserve"> </w:t>
      </w:r>
      <w:r>
        <w:rPr>
          <w:rFonts w:ascii="Arial" w:hAnsi="Arial"/>
          <w:color w:val="000000"/>
          <w:sz w:val="20"/>
        </w:rPr>
        <w:t>million and none as of December 31, 2025. See "Note P. Accumulated Other Comprehensive Loss” for information regarding activity recorded as a component of AOCL during the three and six months ended June 30, 2026 and 2025.</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I. DEBT</w:t>
      </w:r>
    </w:p>
    <w:p>
      <w:pPr>
        <w:pStyle w:val="TextBody"/>
        <w:bidi w:val="0"/>
        <w:spacing w:before="120" w:after="283"/>
        <w:jc w:val="left"/>
        <w:rPr>
          <w:rFonts w:ascii="Arial" w:hAnsi="Arial"/>
          <w:color w:val="000000"/>
          <w:sz w:val="20"/>
        </w:rPr>
      </w:pPr>
      <w:r>
        <w:rPr>
          <w:rFonts w:ascii="Arial" w:hAnsi="Arial"/>
          <w:color w:val="000000"/>
          <w:sz w:val="20"/>
        </w:rPr>
        <w:t>Long-term debt and maturities are as follows (dollars in millions):</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5416"/>
        <w:gridCol w:w="146"/>
        <w:gridCol w:w="211"/>
        <w:gridCol w:w="586"/>
        <w:gridCol w:w="146"/>
        <w:gridCol w:w="146"/>
        <w:gridCol w:w="309"/>
        <w:gridCol w:w="861"/>
        <w:gridCol w:w="75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4.75%,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5.875%,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3.75%,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Secured Credit Facility Term Loan, variable,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5.875%,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Secured Credit Facility Term Loan, variable, due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2026, the Company had $4,140</w:t>
      </w:r>
      <w:r>
        <w:rPr>
          <w:rFonts w:ascii="Times New Roman" w:hAnsi="Times New Roman"/>
          <w:color w:val="000000"/>
          <w:sz w:val="20"/>
        </w:rPr>
        <w:t xml:space="preserve"> </w:t>
      </w:r>
      <w:r>
        <w:rPr>
          <w:rFonts w:ascii="Arial" w:hAnsi="Arial"/>
          <w:color w:val="000000"/>
          <w:sz w:val="20"/>
        </w:rPr>
        <w:t>million of indebtedness associated with ATI's 4.75% Senior Notes due October 2027</w:t>
      </w:r>
      <w:r>
        <w:rPr>
          <w:rFonts w:ascii="Times New Roman" w:hAnsi="Times New Roman"/>
          <w:color w:val="000000"/>
          <w:sz w:val="20"/>
        </w:rPr>
        <w:t xml:space="preserve"> </w:t>
      </w:r>
      <w:r>
        <w:rPr>
          <w:rFonts w:ascii="Arial" w:hAnsi="Arial"/>
          <w:color w:val="000000"/>
          <w:sz w:val="20"/>
        </w:rPr>
        <w:t>(“4.75% Senior Notes 2027”), ATI’s 5.875% Senior Notes due June 2029</w:t>
      </w:r>
      <w:r>
        <w:rPr>
          <w:rFonts w:ascii="Times New Roman" w:hAnsi="Times New Roman"/>
          <w:color w:val="000000"/>
          <w:sz w:val="20"/>
        </w:rPr>
        <w:t xml:space="preserve"> </w:t>
      </w:r>
      <w:r>
        <w:rPr>
          <w:rFonts w:ascii="Arial" w:hAnsi="Arial"/>
          <w:color w:val="000000"/>
          <w:sz w:val="20"/>
        </w:rPr>
        <w:t>(“5.875% Senior Notes 2029”), ATI’s 3.75% Senior Notes due January 2031</w:t>
      </w:r>
      <w:r>
        <w:rPr>
          <w:rFonts w:ascii="Times New Roman" w:hAnsi="Times New Roman"/>
          <w:color w:val="000000"/>
          <w:sz w:val="20"/>
        </w:rPr>
        <w:t xml:space="preserve"> </w:t>
      </w:r>
      <w:r>
        <w:rPr>
          <w:rFonts w:ascii="Arial" w:hAnsi="Arial"/>
          <w:color w:val="000000"/>
          <w:sz w:val="20"/>
        </w:rPr>
        <w:t>(“3.75% Senior Notes 2031”), ATI's 5.875% Senior Notes due December 2033</w:t>
      </w:r>
      <w:r>
        <w:rPr>
          <w:rFonts w:ascii="Times New Roman" w:hAnsi="Times New Roman"/>
          <w:color w:val="000000"/>
          <w:sz w:val="20"/>
        </w:rPr>
        <w:t xml:space="preserve"> </w:t>
      </w:r>
      <w:r>
        <w:rPr>
          <w:rFonts w:ascii="Arial" w:hAnsi="Arial"/>
          <w:color w:val="000000"/>
          <w:sz w:val="20"/>
        </w:rPr>
        <w:t>("5.875% Senior Notes 2033" and, together with the 4.75% Senior Notes 2027, 5.875% Senior Notes 2029 and 3.75% Senior Notes 2031, the “Senior Notes”), the Second Amended and Restated Credit Agreement dated as of March 29, 2019, as amended (the “Credit Agreement”), governing ATI’s term loan facility in the amount of $506</w:t>
      </w:r>
      <w:r>
        <w:rPr>
          <w:rFonts w:ascii="Times New Roman" w:hAnsi="Times New Roman"/>
          <w:color w:val="000000"/>
          <w:sz w:val="20"/>
        </w:rPr>
        <w:t xml:space="preserve"> </w:t>
      </w:r>
      <w:r>
        <w:rPr>
          <w:rFonts w:ascii="Arial" w:hAnsi="Arial"/>
          <w:color w:val="000000"/>
          <w:sz w:val="20"/>
        </w:rPr>
        <w:t>million due March 2031</w:t>
      </w:r>
      <w:r>
        <w:rPr>
          <w:rFonts w:ascii="Times New Roman" w:hAnsi="Times New Roman"/>
          <w:color w:val="000000"/>
          <w:sz w:val="20"/>
        </w:rPr>
        <w:t xml:space="preserve"> </w:t>
      </w:r>
      <w:r>
        <w:rPr>
          <w:rFonts w:ascii="Arial" w:hAnsi="Arial"/>
          <w:color w:val="000000"/>
          <w:sz w:val="20"/>
        </w:rPr>
        <w:t>(“Term Loan”), ATI's incremental term loan in the amount of $1,197</w:t>
      </w:r>
      <w:r>
        <w:rPr>
          <w:rFonts w:ascii="Times New Roman" w:hAnsi="Times New Roman"/>
          <w:color w:val="000000"/>
          <w:sz w:val="20"/>
        </w:rPr>
        <w:t xml:space="preserve"> </w:t>
      </w:r>
      <w:r>
        <w:rPr>
          <w:rFonts w:ascii="Arial" w:hAnsi="Arial"/>
          <w:color w:val="000000"/>
          <w:sz w:val="20"/>
        </w:rPr>
        <w:t>million due January 2033</w:t>
      </w:r>
      <w:r>
        <w:rPr>
          <w:rFonts w:ascii="Times New Roman" w:hAnsi="Times New Roman"/>
          <w:color w:val="000000"/>
          <w:sz w:val="20"/>
        </w:rPr>
        <w:t xml:space="preserve"> </w:t>
      </w:r>
      <w:r>
        <w:rPr>
          <w:rFonts w:ascii="Arial" w:hAnsi="Arial"/>
          <w:color w:val="000000"/>
          <w:sz w:val="20"/>
        </w:rPr>
        <w:t>("Incremental Term Loan"), ATI’s revolving credit facility with commitments in the amount of $1,000</w:t>
      </w:r>
      <w:r>
        <w:rPr>
          <w:rFonts w:ascii="Times New Roman" w:hAnsi="Times New Roman"/>
          <w:color w:val="000000"/>
          <w:sz w:val="20"/>
        </w:rPr>
        <w:t xml:space="preserve"> </w:t>
      </w:r>
      <w:r>
        <w:rPr>
          <w:rFonts w:ascii="Arial" w:hAnsi="Arial"/>
          <w:color w:val="000000"/>
          <w:sz w:val="20"/>
        </w:rPr>
        <w:t>million due January 2031</w:t>
      </w:r>
      <w:r>
        <w:rPr>
          <w:rFonts w:ascii="Times New Roman" w:hAnsi="Times New Roman"/>
          <w:color w:val="000000"/>
          <w:sz w:val="20"/>
        </w:rPr>
        <w:t xml:space="preserve"> </w:t>
      </w:r>
      <w:r>
        <w:rPr>
          <w:rFonts w:ascii="Arial" w:hAnsi="Arial"/>
          <w:color w:val="000000"/>
          <w:sz w:val="20"/>
        </w:rPr>
        <w:t>(the "Revolving Credit Facility" and, together with the Term Loan and Incremental Term Loan, the “Senior Secured Credit Facility”) and the Company's finance lease liabilities.</w:t>
      </w:r>
    </w:p>
    <w:p>
      <w:pPr>
        <w:pStyle w:val="TextBody"/>
        <w:bidi w:val="0"/>
        <w:spacing w:before="120" w:after="283"/>
        <w:jc w:val="left"/>
        <w:rPr>
          <w:rFonts w:ascii="Times New Roman" w:hAnsi="Times New Roman"/>
          <w:sz w:val="20"/>
        </w:rPr>
      </w:pPr>
      <w:r>
        <w:rPr>
          <w:rFonts w:ascii="Arial" w:hAnsi="Arial"/>
          <w:color w:val="000000"/>
          <w:sz w:val="20"/>
        </w:rPr>
        <w:t>The fair value of the Company’s long-term debt obligations as of June 30, 2026 was $4,065</w:t>
      </w:r>
      <w:r>
        <w:rPr>
          <w:rFonts w:ascii="Times New Roman" w:hAnsi="Times New Roman"/>
          <w:color w:val="000000"/>
          <w:sz w:val="20"/>
        </w:rPr>
        <w:t xml:space="preserve"> </w:t>
      </w:r>
      <w:r>
        <w:rPr>
          <w:rFonts w:ascii="Arial" w:hAnsi="Arial"/>
          <w:color w:val="000000"/>
          <w:sz w:val="20"/>
        </w:rPr>
        <w:t>million. The fair value is based on quoted Level 2 market prices of the Company’s debt as of June 30, 2026. The difference between the fair value and carrying value of the long-term debt is driven primarily by trends in the financial markets.</w:t>
      </w:r>
    </w:p>
    <w:p>
      <w:pPr>
        <w:pStyle w:val="TextBody"/>
        <w:bidi w:val="0"/>
        <w:spacing w:before="120" w:after="283"/>
        <w:jc w:val="left"/>
        <w:rPr>
          <w:rFonts w:ascii="Arial" w:hAnsi="Arial"/>
          <w:b/>
          <w:i/>
          <w:color w:val="000000"/>
          <w:sz w:val="20"/>
        </w:rPr>
      </w:pPr>
      <w:r>
        <w:rPr>
          <w:rFonts w:ascii="Arial" w:hAnsi="Arial"/>
          <w:b/>
          <w:i/>
          <w:color w:val="000000"/>
          <w:sz w:val="20"/>
        </w:rPr>
        <w:t>Senior Secured Credit Facility</w:t>
      </w:r>
    </w:p>
    <w:p>
      <w:pPr>
        <w:pStyle w:val="TextBody"/>
        <w:bidi w:val="0"/>
        <w:spacing w:before="120" w:after="283"/>
        <w:jc w:val="left"/>
        <w:rPr>
          <w:rFonts w:ascii="Times New Roman" w:hAnsi="Times New Roman"/>
          <w:sz w:val="20"/>
        </w:rPr>
      </w:pPr>
      <w:r>
        <w:rPr>
          <w:rFonts w:ascii="Arial" w:hAnsi="Arial"/>
          <w:color w:val="000000"/>
          <w:sz w:val="20"/>
        </w:rPr>
        <w:t>In January 2026, the Company and ATI entered into Amendment No. 5 ("Amendment No. 5") to the Credit Agreement to increase the commitments under the existing Revolving Credit Facility from $750</w:t>
      </w:r>
      <w:r>
        <w:rPr>
          <w:rFonts w:ascii="Times New Roman" w:hAnsi="Times New Roman"/>
          <w:color w:val="000000"/>
          <w:sz w:val="20"/>
        </w:rPr>
        <w:t xml:space="preserve"> </w:t>
      </w:r>
      <w:r>
        <w:rPr>
          <w:rFonts w:ascii="Arial" w:hAnsi="Arial"/>
          <w:color w:val="000000"/>
          <w:sz w:val="20"/>
        </w:rPr>
        <w:t>million to $1,000</w:t>
      </w:r>
      <w:r>
        <w:rPr>
          <w:rFonts w:ascii="Times New Roman" w:hAnsi="Times New Roman"/>
          <w:color w:val="000000"/>
          <w:sz w:val="20"/>
        </w:rPr>
        <w:t xml:space="preserve"> </w:t>
      </w:r>
      <w:r>
        <w:rPr>
          <w:rFonts w:ascii="Arial" w:hAnsi="Arial"/>
          <w:color w:val="000000"/>
          <w:sz w:val="20"/>
        </w:rPr>
        <w:t>million and provide for the Incremental Term Loan in an aggregate principal amount equal to $1,200</w:t>
      </w:r>
      <w:r>
        <w:rPr>
          <w:rFonts w:ascii="Times New Roman" w:hAnsi="Times New Roman"/>
          <w:color w:val="000000"/>
          <w:sz w:val="20"/>
        </w:rPr>
        <w:t xml:space="preserve"> </w:t>
      </w:r>
      <w:r>
        <w:rPr>
          <w:rFonts w:ascii="Arial" w:hAnsi="Arial"/>
          <w:color w:val="000000"/>
          <w:sz w:val="20"/>
        </w:rPr>
        <w:t>million, which matures on January 2, 2033 with a springing maturity to the maturity date of the Term Loan in the event the Term Loan matures on any date prior to January 2, 2033. With the exception of the items noted above, the terms of the Revolving Credit Facility were materially the same as they were prior to Amendment No. 5. The amendment to increase the commitments under the existing Revolving Credit Facility was treated as a modification under GAAP and the Incremental Term Loan was treated as new debt. The Company recorded $3</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of deferred financing fees in the Condensed Consolidated Balance Sheet in the first quarter of 2026 associated with the amendment to increase the commitments under the existing Revolving Credit Facility and provide for the Incremental Term Loan, respectively.</w:t>
      </w:r>
    </w:p>
    <w:p>
      <w:pPr>
        <w:pStyle w:val="TextBody"/>
        <w:bidi w:val="0"/>
        <w:spacing w:before="120" w:after="283"/>
        <w:jc w:val="left"/>
        <w:rPr>
          <w:rFonts w:ascii="Arial" w:hAnsi="Arial"/>
          <w:color w:val="000000"/>
          <w:sz w:val="20"/>
        </w:rPr>
      </w:pPr>
      <w:r>
        <w:rPr>
          <w:rFonts w:ascii="Arial" w:hAnsi="Arial"/>
          <w:color w:val="000000"/>
          <w:sz w:val="20"/>
        </w:rPr>
        <w:t>In June 2026, the Company and ATI entered into Amendment No. 6 ("Amendment No. 6") to the Credit Agreement to lower the applicable margin on the Term Loan by 0.25%. Amendment No. 6 was treated as a modification to the Term Loan under GAAP.</w:t>
      </w:r>
    </w:p>
    <w:p>
      <w:pPr>
        <w:pStyle w:val="TextBody"/>
        <w:bidi w:val="0"/>
        <w:spacing w:before="120" w:after="283"/>
        <w:jc w:val="left"/>
        <w:rPr>
          <w:rFonts w:ascii="Times New Roman" w:hAnsi="Times New Roman"/>
          <w:sz w:val="20"/>
        </w:rPr>
      </w:pPr>
      <w:r>
        <w:rPr>
          <w:rFonts w:ascii="Arial" w:hAnsi="Arial"/>
          <w:color w:val="000000"/>
          <w:sz w:val="20"/>
        </w:rPr>
        <w:t>The borrowings under the Senior Secured Credit Facility are collateralized by a lien on substantially all assets of the Company, ATI and certain existing and future U.S. subsidiary guarantors, as provided in the Credit</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Agreement. Interest on the Incremental Term Loan, as of June 30, 2026,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June 30, 2026, the Company elected to pay the lowest all-in rate of Term SOFR plus the applicable margin, or 5.38%, on the Incremental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Interest on the Term Loan, as of June 30, 2026, is either (a) 1.50% over the Term SOFR rate, or (b) 0.50% over the Base Rate. As of June 30, 2026, the Company elected to pay the lowest all-in rate of Term SOFR plus the applicable margin, or 5.12%, on the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Credit Agreement requires minimum quarterly principal payments on the Term Loan and Incremental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w:t>
      </w:r>
      <w:r>
        <w:rPr>
          <w:rFonts w:ascii="Times New Roman" w:hAnsi="Times New Roman"/>
          <w:color w:val="000000"/>
          <w:sz w:val="20"/>
        </w:rPr>
        <w:t xml:space="preserve"> </w:t>
      </w:r>
      <w:r>
        <w:rPr>
          <w:rFonts w:ascii="Arial" w:hAnsi="Arial"/>
          <w:color w:val="000000"/>
          <w:sz w:val="20"/>
        </w:rPr>
        <w:t>is $1</w:t>
      </w:r>
      <w:r>
        <w:rPr>
          <w:rFonts w:ascii="Times New Roman" w:hAnsi="Times New Roman"/>
          <w:color w:val="000000"/>
          <w:sz w:val="20"/>
        </w:rPr>
        <w:t xml:space="preserve"> </w:t>
      </w:r>
      <w:r>
        <w:rPr>
          <w:rFonts w:ascii="Arial" w:hAnsi="Arial"/>
          <w:color w:val="000000"/>
          <w:sz w:val="20"/>
        </w:rPr>
        <w:t>million and the minimum required quarterly payment on the Incremental Term Loan through its maturity date of January 2033</w:t>
      </w:r>
      <w:r>
        <w:rPr>
          <w:rFonts w:ascii="Times New Roman" w:hAnsi="Times New Roman"/>
          <w:color w:val="000000"/>
          <w:sz w:val="20"/>
        </w:rPr>
        <w:t xml:space="preserve"> </w:t>
      </w:r>
      <w:r>
        <w:rPr>
          <w:rFonts w:ascii="Arial" w:hAnsi="Arial"/>
          <w:color w:val="000000"/>
          <w:sz w:val="20"/>
        </w:rPr>
        <w:t>is $3</w:t>
      </w:r>
      <w:r>
        <w:rPr>
          <w:rFonts w:ascii="Times New Roman" w:hAnsi="Times New Roman"/>
          <w:color w:val="000000"/>
          <w:sz w:val="20"/>
        </w:rPr>
        <w:t xml:space="preserve"> </w:t>
      </w:r>
      <w:r>
        <w:rPr>
          <w:rFonts w:ascii="Arial" w:hAnsi="Arial"/>
          <w:color w:val="000000"/>
          <w:sz w:val="20"/>
        </w:rPr>
        <w:t>million. As of June 30, 2026, there had been no payments required for certain net cash proceeds of non-ordinary course asset sales and casualty and condemnation events. The remaining principal balances are due upon maturity of the Term Loan and the Incremental Term Loan.</w:t>
      </w:r>
    </w:p>
    <w:p>
      <w:pPr>
        <w:pStyle w:val="TextBody"/>
        <w:bidi w:val="0"/>
        <w:spacing w:before="120" w:after="283"/>
        <w:jc w:val="left"/>
        <w:rPr>
          <w:rFonts w:ascii="Times New Roman" w:hAnsi="Times New Roman"/>
          <w:sz w:val="20"/>
        </w:rPr>
      </w:pPr>
      <w:r>
        <w:rPr>
          <w:rFonts w:ascii="Arial" w:hAnsi="Arial"/>
          <w:color w:val="000000"/>
          <w:sz w:val="20"/>
        </w:rPr>
        <w:t>The Senior Secured Credit Facility also provides a Revolving Credit Facility, net of an allowance for up to $75</w:t>
      </w:r>
      <w:r>
        <w:rPr>
          <w:rFonts w:ascii="Times New Roman" w:hAnsi="Times New Roman"/>
          <w:color w:val="000000"/>
          <w:sz w:val="20"/>
        </w:rPr>
        <w:t xml:space="preserve"> </w:t>
      </w:r>
      <w:r>
        <w:rPr>
          <w:rFonts w:ascii="Arial" w:hAnsi="Arial"/>
          <w:color w:val="000000"/>
          <w:sz w:val="20"/>
        </w:rPr>
        <w:t>million in outstanding letters of credit commitments. During the six months ended June 30, 2026, the Company withdrew $300</w:t>
      </w:r>
      <w:r>
        <w:rPr>
          <w:rFonts w:ascii="Times New Roman" w:hAnsi="Times New Roman"/>
          <w:color w:val="000000"/>
          <w:sz w:val="20"/>
        </w:rPr>
        <w:t xml:space="preserve"> </w:t>
      </w:r>
      <w:r>
        <w:rPr>
          <w:rFonts w:ascii="Arial" w:hAnsi="Arial"/>
          <w:color w:val="000000"/>
          <w:sz w:val="20"/>
        </w:rPr>
        <w:t>million to partially fund the Acquisition and fully repaid the outstanding balance on the Revolving Credit Facility. The maximum amount outstanding at any time during the six months ended June 30, 2026</w:t>
      </w:r>
      <w:r>
        <w:rPr>
          <w:rFonts w:ascii="Times New Roman" w:hAnsi="Times New Roman"/>
          <w:color w:val="000000"/>
          <w:sz w:val="20"/>
        </w:rPr>
        <w:t xml:space="preserve"> </w:t>
      </w:r>
      <w:r>
        <w:rPr>
          <w:rFonts w:ascii="Arial" w:hAnsi="Arial"/>
          <w:color w:val="000000"/>
          <w:sz w:val="20"/>
        </w:rPr>
        <w:t>was $300</w:t>
      </w:r>
      <w:r>
        <w:rPr>
          <w:rFonts w:ascii="Times New Roman" w:hAnsi="Times New Roman"/>
          <w:color w:val="000000"/>
          <w:sz w:val="20"/>
        </w:rPr>
        <w:t xml:space="preserve"> </w:t>
      </w:r>
      <w:r>
        <w:rPr>
          <w:rFonts w:ascii="Arial" w:hAnsi="Arial"/>
          <w:color w:val="000000"/>
          <w:sz w:val="20"/>
        </w:rPr>
        <w:t>million. As of June 30, 2026, the Company had $995</w:t>
      </w:r>
      <w:r>
        <w:rPr>
          <w:rFonts w:ascii="Times New Roman" w:hAnsi="Times New Roman"/>
          <w:color w:val="000000"/>
          <w:sz w:val="20"/>
        </w:rPr>
        <w:t xml:space="preserve"> </w:t>
      </w:r>
      <w:r>
        <w:rPr>
          <w:rFonts w:ascii="Arial" w:hAnsi="Arial"/>
          <w:color w:val="000000"/>
          <w:sz w:val="20"/>
        </w:rPr>
        <w:t>million available under the Revolving Credit Facility, net of $5</w:t>
      </w:r>
      <w:r>
        <w:rPr>
          <w:rFonts w:ascii="Times New Roman" w:hAnsi="Times New Roman"/>
          <w:color w:val="000000"/>
          <w:sz w:val="20"/>
        </w:rPr>
        <w:t xml:space="preserve"> </w:t>
      </w:r>
      <w:r>
        <w:rPr>
          <w:rFonts w:ascii="Arial" w:hAnsi="Arial"/>
          <w:color w:val="000000"/>
          <w:sz w:val="20"/>
        </w:rPr>
        <w:t>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In addition, there is an annual commitment fee, based on the Company’s first lien net leverage ratio, on the average unused revolving credit borrowings available under the Revolving Credit Facility. As of June 30, 2026, the commitment fee was 0.25%. Borrowings under the Revolving Credit Facility are payable at the option of the Company throughout the term of the Revolving Credit Facility with the balance due in January 2031.</w:t>
      </w:r>
    </w:p>
    <w:p>
      <w:pPr>
        <w:pStyle w:val="TextBody"/>
        <w:bidi w:val="0"/>
        <w:spacing w:before="120" w:after="283"/>
        <w:jc w:val="left"/>
        <w:rPr>
          <w:rFonts w:ascii="Times New Roman" w:hAnsi="Times New Roman"/>
          <w:sz w:val="20"/>
        </w:rPr>
      </w:pPr>
      <w:r>
        <w:rPr>
          <w:rFonts w:ascii="Arial" w:hAnsi="Arial"/>
          <w:color w:val="000000"/>
          <w:sz w:val="20"/>
        </w:rPr>
        <w:t>The Senior Secured Credit Facility requires the Company to maintain a specified maximum first lien net leverage ratio of 5.50x when revolving loan commitments remain outstanding on the Revolving Credit Facility at the end of a fiscal quarter. As of June 30, 2026, the Company was in compliance with the maximum first lien net leverage ratio, achieving a 1.01x ratio. Additionally, within the terms of the Senior Secured Credit Facility, a first lien net leverage ratio at or below 4.00x results in the elimination of excess cash flow payments on the Senior Secured Credit Facility for the applicable</w:t>
      </w:r>
      <w:r>
        <w:rPr>
          <w:rFonts w:ascii="Times New Roman" w:hAnsi="Times New Roman"/>
          <w:color w:val="000000"/>
          <w:sz w:val="20"/>
        </w:rPr>
        <w:t xml:space="preserve"> </w:t>
      </w:r>
      <w:r>
        <w:rPr>
          <w:rFonts w:ascii="Arial" w:hAnsi="Arial"/>
          <w:color w:val="000000"/>
          <w:sz w:val="20"/>
        </w:rPr>
        <w:t>year.</w:t>
      </w:r>
    </w:p>
    <w:p>
      <w:pPr>
        <w:pStyle w:val="TextBody"/>
        <w:bidi w:val="0"/>
        <w:spacing w:before="120" w:after="283"/>
        <w:jc w:val="left"/>
        <w:rPr>
          <w:rFonts w:ascii="Arial" w:hAnsi="Arial"/>
          <w:color w:val="000000"/>
          <w:sz w:val="20"/>
        </w:rPr>
      </w:pPr>
      <w:r>
        <w:rPr>
          <w:rFonts w:ascii="Arial" w:hAnsi="Arial"/>
          <w:color w:val="000000"/>
          <w:sz w:val="20"/>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2026, the Company was in compliance with all covenants under the Credit Agreement.</w:t>
      </w:r>
    </w:p>
    <w:p>
      <w:pPr>
        <w:pStyle w:val="TextBody"/>
        <w:bidi w:val="0"/>
        <w:spacing w:before="18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Senior Notes</w:t>
      </w:r>
    </w:p>
    <w:p>
      <w:pPr>
        <w:pStyle w:val="TextBody"/>
        <w:bidi w:val="0"/>
        <w:spacing w:before="120" w:after="283"/>
        <w:jc w:val="left"/>
        <w:rPr>
          <w:rFonts w:ascii="Arial" w:hAnsi="Arial"/>
          <w:color w:val="000000"/>
          <w:sz w:val="20"/>
        </w:rPr>
      </w:pPr>
      <w:r>
        <w:rPr>
          <w:rFonts w:ascii="Arial" w:hAnsi="Arial"/>
          <w:color w:val="000000"/>
          <w:sz w:val="20"/>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2026, the Company was in compliance with all covenants under the indentures governing the Senior Notes.</w:t>
      </w:r>
    </w:p>
    <w:p>
      <w:pPr>
        <w:pStyle w:val="TextBody"/>
        <w:bidi w:val="0"/>
        <w:spacing w:before="120" w:after="283"/>
        <w:jc w:val="left"/>
        <w:rPr>
          <w:rFonts w:ascii="Arial" w:hAnsi="Arial"/>
          <w:color w:val="000000"/>
          <w:sz w:val="20"/>
        </w:rPr>
      </w:pPr>
      <w:r>
        <w:rPr>
          <w:rFonts w:ascii="Arial" w:hAnsi="Arial"/>
          <w:color w:val="000000"/>
          <w:sz w:val="20"/>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2027, the 5.875% Senior Notes 2029 and the 3.75% Senior Notes 2031 may be redeemed at any time at redemption prices specified in the indentures governing such notes. Prior to December 1, 2028, ATI may redeem some or all of the 5.875% Senior Notes 2033 by paying a price equal to 100.00% of the principal amount being redeemed, plus an “applicable premium”. At any time on or after December 1, 2028, ATI may redeem some or all of the 5.875% Senior Notes 2033 at redemption prices specified in the indenture governing such notes.</w:t>
      </w:r>
    </w:p>
    <w:p>
      <w:pPr>
        <w:pStyle w:val="TextBody"/>
        <w:bidi w:val="0"/>
        <w:spacing w:before="18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J. PRODUCT WARRANTY LIABILITIES</w:t>
      </w:r>
    </w:p>
    <w:p>
      <w:pPr>
        <w:pStyle w:val="TextBody"/>
        <w:bidi w:val="0"/>
        <w:spacing w:before="120" w:after="283"/>
        <w:jc w:val="left"/>
        <w:rPr>
          <w:rFonts w:ascii="Times New Roman" w:hAnsi="Times New Roman"/>
          <w:sz w:val="20"/>
        </w:rPr>
      </w:pPr>
      <w:r>
        <w:rPr>
          <w:rFonts w:ascii="Arial" w:hAnsi="Arial"/>
          <w:color w:val="000000"/>
          <w:sz w:val="20"/>
        </w:rPr>
        <w:t>As of June 30, 2026, current and non-current product warranty liabilities were $65</w:t>
      </w:r>
      <w:r>
        <w:rPr>
          <w:rFonts w:ascii="Times New Roman" w:hAnsi="Times New Roman"/>
          <w:color w:val="000000"/>
          <w:sz w:val="20"/>
        </w:rPr>
        <w:t xml:space="preserve"> </w:t>
      </w:r>
      <w:r>
        <w:rPr>
          <w:rFonts w:ascii="Arial" w:hAnsi="Arial"/>
          <w:color w:val="000000"/>
          <w:sz w:val="20"/>
        </w:rPr>
        <w:t>million and $63</w:t>
      </w:r>
      <w:r>
        <w:rPr>
          <w:rFonts w:ascii="Times New Roman" w:hAnsi="Times New Roman"/>
          <w:color w:val="000000"/>
          <w:sz w:val="20"/>
        </w:rPr>
        <w:t xml:space="preserve"> </w:t>
      </w:r>
      <w:r>
        <w:rPr>
          <w:rFonts w:ascii="Arial" w:hAnsi="Arial"/>
          <w:color w:val="000000"/>
          <w:sz w:val="20"/>
        </w:rPr>
        <w:t>million, respectively. As of June 30, 2025, current and non-current product warranty liabilities were $32</w:t>
      </w:r>
      <w:r>
        <w:rPr>
          <w:rFonts w:ascii="Times New Roman" w:hAnsi="Times New Roman"/>
          <w:color w:val="000000"/>
          <w:sz w:val="20"/>
        </w:rPr>
        <w:t xml:space="preserve"> </w:t>
      </w:r>
      <w:r>
        <w:rPr>
          <w:rFonts w:ascii="Arial" w:hAnsi="Arial"/>
          <w:color w:val="000000"/>
          <w:sz w:val="20"/>
        </w:rPr>
        <w:t>million and $47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Product warranty liability activities consisted of the following (dollars in millions):</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4456"/>
        <w:gridCol w:w="146"/>
        <w:gridCol w:w="246"/>
        <w:gridCol w:w="492"/>
        <w:gridCol w:w="194"/>
        <w:gridCol w:w="170"/>
        <w:gridCol w:w="246"/>
        <w:gridCol w:w="404"/>
        <w:gridCol w:w="166"/>
        <w:gridCol w:w="146"/>
        <w:gridCol w:w="213"/>
        <w:gridCol w:w="425"/>
        <w:gridCol w:w="167"/>
        <w:gridCol w:w="147"/>
        <w:gridCol w:w="213"/>
        <w:gridCol w:w="379"/>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warranty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in liability (warranty issued during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adjustments to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K. DEFERRED REVENUE</w:t>
      </w:r>
    </w:p>
    <w:p>
      <w:pPr>
        <w:pStyle w:val="TextBody"/>
        <w:bidi w:val="0"/>
        <w:spacing w:before="120" w:after="283"/>
        <w:jc w:val="left"/>
        <w:rPr>
          <w:rFonts w:ascii="Times New Roman" w:hAnsi="Times New Roman"/>
          <w:sz w:val="20"/>
        </w:rPr>
      </w:pPr>
      <w:r>
        <w:rPr>
          <w:rFonts w:ascii="Arial" w:hAnsi="Arial"/>
          <w:color w:val="000000"/>
          <w:sz w:val="20"/>
        </w:rPr>
        <w:t>As of June 30, 2026, current and non-current deferred revenue were $73</w:t>
      </w:r>
      <w:r>
        <w:rPr>
          <w:rFonts w:ascii="Times New Roman" w:hAnsi="Times New Roman"/>
          <w:color w:val="000000"/>
          <w:sz w:val="20"/>
        </w:rPr>
        <w:t xml:space="preserve"> </w:t>
      </w:r>
      <w:r>
        <w:rPr>
          <w:rFonts w:ascii="Arial" w:hAnsi="Arial"/>
          <w:color w:val="000000"/>
          <w:sz w:val="20"/>
        </w:rPr>
        <w:t>million and $105</w:t>
      </w:r>
      <w:r>
        <w:rPr>
          <w:rFonts w:ascii="Times New Roman" w:hAnsi="Times New Roman"/>
          <w:color w:val="000000"/>
          <w:sz w:val="20"/>
        </w:rPr>
        <w:t xml:space="preserve"> </w:t>
      </w:r>
      <w:r>
        <w:rPr>
          <w:rFonts w:ascii="Arial" w:hAnsi="Arial"/>
          <w:color w:val="000000"/>
          <w:sz w:val="20"/>
        </w:rPr>
        <w:t>million, respectively. As of June 30, 2025, current and non-current deferred revenue were $36</w:t>
      </w:r>
      <w:r>
        <w:rPr>
          <w:rFonts w:ascii="Times New Roman" w:hAnsi="Times New Roman"/>
          <w:color w:val="000000"/>
          <w:sz w:val="20"/>
        </w:rPr>
        <w:t xml:space="preserve"> </w:t>
      </w:r>
      <w:r>
        <w:rPr>
          <w:rFonts w:ascii="Arial" w:hAnsi="Arial"/>
          <w:color w:val="000000"/>
          <w:sz w:val="20"/>
        </w:rPr>
        <w:t>million and $100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Deferred revenue activity consisted of the following (dollars in millions):</w:t>
      </w:r>
    </w:p>
    <w:p>
      <w:pPr>
        <w:pStyle w:val="TextBody"/>
        <w:bidi w:val="0"/>
        <w:jc w:val="left"/>
        <w:rPr/>
      </w:pPr>
      <w:r>
        <w:rPr/>
        <w:t> </w:t>
      </w:r>
    </w:p>
    <w:tbl>
      <w:tblPr>
        <w:tblW w:w="6400" w:type="dxa"/>
        <w:jc w:val="left"/>
        <w:tblInd w:w="0" w:type="dxa"/>
        <w:tblLayout w:type="fixed"/>
        <w:tblCellMar>
          <w:top w:w="28" w:type="dxa"/>
          <w:left w:w="28" w:type="dxa"/>
          <w:bottom w:w="28" w:type="dxa"/>
          <w:right w:w="28" w:type="dxa"/>
        </w:tblCellMar>
      </w:tblPr>
      <w:tblGrid>
        <w:gridCol w:w="2401"/>
        <w:gridCol w:w="146"/>
        <w:gridCol w:w="235"/>
        <w:gridCol w:w="469"/>
        <w:gridCol w:w="184"/>
        <w:gridCol w:w="162"/>
        <w:gridCol w:w="235"/>
        <w:gridCol w:w="469"/>
        <w:gridCol w:w="166"/>
        <w:gridCol w:w="146"/>
        <w:gridCol w:w="211"/>
        <w:gridCol w:w="421"/>
        <w:gridCol w:w="166"/>
        <w:gridCol w:w="146"/>
        <w:gridCol w:w="211"/>
        <w:gridCol w:w="42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recorded in current and non-current liabilities related to ETC as of June 30, 2026 was $33</w:t>
      </w:r>
      <w:r>
        <w:rPr>
          <w:rFonts w:ascii="Times New Roman" w:hAnsi="Times New Roman"/>
          <w:color w:val="000000"/>
          <w:sz w:val="20"/>
        </w:rPr>
        <w:t xml:space="preserve"> </w:t>
      </w:r>
      <w:r>
        <w:rPr>
          <w:rFonts w:ascii="Arial" w:hAnsi="Arial"/>
          <w:color w:val="000000"/>
          <w:sz w:val="20"/>
        </w:rPr>
        <w:t>million and $102</w:t>
      </w:r>
      <w:r>
        <w:rPr>
          <w:rFonts w:ascii="Times New Roman" w:hAnsi="Times New Roman"/>
          <w:color w:val="000000"/>
          <w:sz w:val="20"/>
        </w:rPr>
        <w:t xml:space="preserve"> </w:t>
      </w:r>
      <w:r>
        <w:rPr>
          <w:rFonts w:ascii="Arial" w:hAnsi="Arial"/>
          <w:color w:val="000000"/>
          <w:sz w:val="20"/>
        </w:rPr>
        <w:t>million, respectively. Deferred revenue recorded in current and non-current liabilities related to ETC as of June 30, 2025 was $29</w:t>
      </w:r>
      <w:r>
        <w:rPr>
          <w:rFonts w:ascii="Times New Roman" w:hAnsi="Times New Roman"/>
          <w:color w:val="000000"/>
          <w:sz w:val="20"/>
        </w:rPr>
        <w:t xml:space="preserve"> </w:t>
      </w:r>
      <w:r>
        <w:rPr>
          <w:rFonts w:ascii="Arial" w:hAnsi="Arial"/>
          <w:color w:val="000000"/>
          <w:sz w:val="20"/>
        </w:rPr>
        <w:t>million and $100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L. LEASES</w:t>
      </w:r>
    </w:p>
    <w:p>
      <w:pPr>
        <w:pStyle w:val="TextBody"/>
        <w:bidi w:val="0"/>
        <w:spacing w:before="120" w:after="283"/>
        <w:jc w:val="left"/>
        <w:rPr>
          <w:rFonts w:ascii="Arial" w:hAnsi="Arial"/>
          <w:color w:val="000000"/>
          <w:sz w:val="20"/>
        </w:rPr>
      </w:pPr>
      <w:r>
        <w:rPr>
          <w:rFonts w:ascii="Arial" w:hAnsi="Arial"/>
          <w:color w:val="000000"/>
          <w:sz w:val="20"/>
        </w:rPr>
        <w:t>Contracts are assessed by the Company to determine if the contract conveys the right to control an identified asset in exchange for consideration during a period of time. The Company classifies all identified leases as either operating or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pStyle w:val="TextBody"/>
        <w:bidi w:val="0"/>
        <w:spacing w:before="120" w:after="283"/>
        <w:jc w:val="left"/>
        <w:rPr>
          <w:rFonts w:ascii="Arial" w:hAnsi="Arial"/>
          <w:color w:val="000000"/>
          <w:sz w:val="20"/>
        </w:rPr>
      </w:pPr>
      <w:r>
        <w:rPr>
          <w:rFonts w:ascii="Arial" w:hAnsi="Arial"/>
          <w:color w:val="000000"/>
          <w:sz w:val="20"/>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pStyle w:val="TextBody"/>
        <w:bidi w:val="0"/>
        <w:spacing w:before="120" w:after="283"/>
        <w:jc w:val="left"/>
        <w:rPr>
          <w:rFonts w:ascii="Times New Roman" w:hAnsi="Times New Roman"/>
          <w:sz w:val="20"/>
        </w:rPr>
      </w:pPr>
      <w:r>
        <w:rPr>
          <w:rFonts w:ascii="Arial" w:hAnsi="Arial"/>
          <w:color w:val="000000"/>
          <w:sz w:val="20"/>
        </w:rPr>
        <w:t>ROU assets are calculated as the related lease liability adjusted for lease incentives, any initial direct costs, prepayments and the effect of escalating lease payments on period expense. During the six months ended June 30, 2026, the Company recorded $72</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of new ROU assets obtained in exchange for operating lease obligations and financing lease obligations, respectively, of which $53</w:t>
      </w:r>
      <w:r>
        <w:rPr>
          <w:rFonts w:ascii="Times New Roman" w:hAnsi="Times New Roman"/>
          <w:color w:val="000000"/>
          <w:sz w:val="20"/>
        </w:rPr>
        <w:t xml:space="preserve"> </w:t>
      </w:r>
      <w:r>
        <w:rPr>
          <w:rFonts w:ascii="Arial" w:hAnsi="Arial"/>
          <w:color w:val="000000"/>
          <w:sz w:val="20"/>
        </w:rPr>
        <w:t>million of the operating leases and $35</w:t>
      </w:r>
      <w:r>
        <w:rPr>
          <w:rFonts w:ascii="Times New Roman" w:hAnsi="Times New Roman"/>
          <w:color w:val="000000"/>
          <w:sz w:val="20"/>
        </w:rPr>
        <w:t xml:space="preserve"> </w:t>
      </w:r>
      <w:r>
        <w:rPr>
          <w:rFonts w:ascii="Arial" w:hAnsi="Arial"/>
          <w:color w:val="000000"/>
          <w:sz w:val="20"/>
        </w:rPr>
        <w:t>million of the finance leases were acquired in the Acquisition. The Company also acquired a below market lease in the Acquisition, resulting in the recognition of a favorable lease asset of $36</w:t>
      </w:r>
      <w:r>
        <w:rPr>
          <w:rFonts w:ascii="Times New Roman" w:hAnsi="Times New Roman"/>
          <w:color w:val="000000"/>
          <w:sz w:val="20"/>
        </w:rPr>
        <w:t xml:space="preserve"> </w:t>
      </w:r>
      <w:r>
        <w:rPr>
          <w:rFonts w:ascii="Arial" w:hAnsi="Arial"/>
          <w:color w:val="000000"/>
          <w:sz w:val="20"/>
        </w:rPr>
        <w:t>million. During the six months ended June 30, 2025, the Company recorded $1</w:t>
      </w:r>
      <w:r>
        <w:rPr>
          <w:rFonts w:ascii="Times New Roman" w:hAnsi="Times New Roman"/>
          <w:color w:val="000000"/>
          <w:sz w:val="20"/>
        </w:rPr>
        <w:t xml:space="preserve"> </w:t>
      </w:r>
      <w:r>
        <w:rPr>
          <w:rFonts w:ascii="Arial" w:hAnsi="Arial"/>
          <w:color w:val="000000"/>
          <w:sz w:val="20"/>
        </w:rPr>
        <w:t>million of new ROU assets obtained in exchange for operating lease obligations and no</w:t>
      </w:r>
      <w:r>
        <w:rPr>
          <w:rFonts w:ascii="Times New Roman" w:hAnsi="Times New Roman"/>
          <w:color w:val="000000"/>
          <w:sz w:val="20"/>
        </w:rPr>
        <w:t xml:space="preserve"> </w:t>
      </w:r>
      <w:r>
        <w:rPr>
          <w:rFonts w:ascii="Arial" w:hAnsi="Arial"/>
          <w:color w:val="000000"/>
          <w:sz w:val="20"/>
        </w:rPr>
        <w:t>financing lease obligations.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Company's lease liability is determined by discounting the future cash flows over the lease period using incremental borrowing rates. The incremental borrowing rates are determined using rates specific to the term of the lease, the economic environments where lease activity is concentrated and the value of the lease portfolio, and assuming full collateralization of the loans. Lease liabilities are classified between current and non-current liabilities based on the terms of the underlying leases.</w:t>
      </w:r>
    </w:p>
    <w:p>
      <w:pPr>
        <w:pStyle w:val="TextBody"/>
        <w:bidi w:val="0"/>
        <w:spacing w:before="120" w:after="120"/>
        <w:jc w:val="left"/>
        <w:rPr>
          <w:rFonts w:ascii="Arial" w:hAnsi="Arial"/>
          <w:color w:val="000000"/>
          <w:sz w:val="20"/>
        </w:rPr>
      </w:pPr>
      <w:r>
        <w:rPr>
          <w:rFonts w:ascii="Arial" w:hAnsi="Arial"/>
          <w:color w:val="000000"/>
          <w:sz w:val="20"/>
        </w:rPr>
        <w:t>The balances for the operating and finance leases where the Company is the lessee are presented as follows within the Company’s Condensed Consolidated Balance Sheets (dollars in millions):</w:t>
      </w:r>
    </w:p>
    <w:tbl>
      <w:tblPr>
        <w:tblW w:w="6525" w:type="dxa"/>
        <w:jc w:val="left"/>
        <w:tblInd w:w="0" w:type="dxa"/>
        <w:tblLayout w:type="fixed"/>
        <w:tblCellMar>
          <w:top w:w="28" w:type="dxa"/>
          <w:left w:w="28" w:type="dxa"/>
          <w:bottom w:w="28" w:type="dxa"/>
          <w:right w:w="28" w:type="dxa"/>
        </w:tblCellMar>
      </w:tblPr>
      <w:tblGrid>
        <w:gridCol w:w="3401"/>
        <w:gridCol w:w="146"/>
        <w:gridCol w:w="255"/>
        <w:gridCol w:w="510"/>
        <w:gridCol w:w="146"/>
        <w:gridCol w:w="146"/>
        <w:gridCol w:w="443"/>
        <w:gridCol w:w="727"/>
        <w:gridCol w:w="75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components of lease expense were as follows within the Company’s Condensed Consolidated Statements of Comprehensive Income (dollars in millions):</w:t>
      </w:r>
    </w:p>
    <w:tbl>
      <w:tblPr>
        <w:tblW w:w="8186" w:type="dxa"/>
        <w:jc w:val="left"/>
        <w:tblInd w:w="0" w:type="dxa"/>
        <w:tblLayout w:type="fixed"/>
        <w:tblCellMar>
          <w:top w:w="28" w:type="dxa"/>
          <w:left w:w="28" w:type="dxa"/>
          <w:bottom w:w="28" w:type="dxa"/>
          <w:right w:w="28" w:type="dxa"/>
        </w:tblCellMar>
      </w:tblPr>
      <w:tblGrid>
        <w:gridCol w:w="2996"/>
        <w:gridCol w:w="146"/>
        <w:gridCol w:w="291"/>
        <w:gridCol w:w="291"/>
        <w:gridCol w:w="201"/>
        <w:gridCol w:w="201"/>
        <w:gridCol w:w="291"/>
        <w:gridCol w:w="478"/>
        <w:gridCol w:w="146"/>
        <w:gridCol w:w="146"/>
        <w:gridCol w:w="345"/>
        <w:gridCol w:w="516"/>
        <w:gridCol w:w="238"/>
        <w:gridCol w:w="238"/>
        <w:gridCol w:w="345"/>
        <w:gridCol w:w="566"/>
        <w:gridCol w:w="75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0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Arial" w:hAnsi="Arial"/>
          <w:color w:val="000000"/>
          <w:sz w:val="20"/>
        </w:rPr>
      </w:pPr>
      <w:r>
        <w:rPr>
          <w:rFonts w:ascii="Arial" w:hAnsi="Arial"/>
          <w:color w:val="000000"/>
          <w:sz w:val="20"/>
        </w:rPr>
        <w:t>Other information related to leases where the Company is the lessee was as follows:</w:t>
      </w:r>
    </w:p>
    <w:tbl>
      <w:tblPr>
        <w:tblW w:w="7895" w:type="dxa"/>
        <w:jc w:val="left"/>
        <w:tblInd w:w="0" w:type="dxa"/>
        <w:tblLayout w:type="fixed"/>
        <w:tblCellMar>
          <w:top w:w="28" w:type="dxa"/>
          <w:left w:w="28" w:type="dxa"/>
          <w:bottom w:w="28" w:type="dxa"/>
          <w:right w:w="28" w:type="dxa"/>
        </w:tblCellMar>
      </w:tblPr>
      <w:tblGrid>
        <w:gridCol w:w="4771"/>
        <w:gridCol w:w="146"/>
        <w:gridCol w:w="178"/>
        <w:gridCol w:w="587"/>
        <w:gridCol w:w="286"/>
        <w:gridCol w:w="146"/>
        <w:gridCol w:w="271"/>
        <w:gridCol w:w="899"/>
        <w:gridCol w:w="6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Arial" w:hAnsi="Arial"/>
          <w:color w:val="000000"/>
          <w:sz w:val="20"/>
        </w:rPr>
      </w:pPr>
      <w:r>
        <w:rPr>
          <w:rFonts w:ascii="Arial" w:hAnsi="Arial"/>
          <w:color w:val="000000"/>
          <w:sz w:val="20"/>
        </w:rPr>
        <w:t>The following table reconciles future undiscounted cash flows for operating leases and financing leases to total lease liabilities as of June 30, 2026 (dollars in millions):</w:t>
      </w:r>
    </w:p>
    <w:tbl>
      <w:tblPr>
        <w:tblW w:w="8115" w:type="dxa"/>
        <w:jc w:val="left"/>
        <w:tblInd w:w="0" w:type="dxa"/>
        <w:tblLayout w:type="fixed"/>
        <w:tblCellMar>
          <w:top w:w="28" w:type="dxa"/>
          <w:left w:w="28" w:type="dxa"/>
          <w:bottom w:w="28" w:type="dxa"/>
          <w:right w:w="28" w:type="dxa"/>
        </w:tblCellMar>
      </w:tblPr>
      <w:tblGrid>
        <w:gridCol w:w="3656"/>
        <w:gridCol w:w="146"/>
        <w:gridCol w:w="574"/>
        <w:gridCol w:w="1151"/>
        <w:gridCol w:w="146"/>
        <w:gridCol w:w="146"/>
        <w:gridCol w:w="617"/>
        <w:gridCol w:w="928"/>
        <w:gridCol w:w="75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Finance Leases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the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portion of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M. OTHER CURRENT LIABILITIES</w:t>
      </w:r>
    </w:p>
    <w:p>
      <w:pPr>
        <w:pStyle w:val="TextBody"/>
        <w:bidi w:val="0"/>
        <w:spacing w:before="120" w:after="283"/>
        <w:jc w:val="left"/>
        <w:rPr>
          <w:rFonts w:ascii="Arial" w:hAnsi="Arial"/>
          <w:color w:val="000000"/>
          <w:sz w:val="20"/>
        </w:rPr>
      </w:pPr>
      <w:r>
        <w:rPr>
          <w:rFonts w:ascii="Arial" w:hAnsi="Arial"/>
          <w:color w:val="000000"/>
          <w:sz w:val="20"/>
        </w:rPr>
        <w:t>Other current liabilities consisted of the following (dollars in millions):</w:t>
      </w:r>
    </w:p>
    <w:p>
      <w:pPr>
        <w:pStyle w:val="TextBody"/>
        <w:bidi w:val="0"/>
        <w:jc w:val="left"/>
        <w:rPr/>
      </w:pPr>
      <w:r>
        <w:rPr/>
        <w:t> </w:t>
      </w:r>
    </w:p>
    <w:tbl>
      <w:tblPr>
        <w:tblW w:w="5260" w:type="dxa"/>
        <w:jc w:val="left"/>
        <w:tblInd w:w="0" w:type="dxa"/>
        <w:tblLayout w:type="fixed"/>
        <w:tblCellMar>
          <w:top w:w="28" w:type="dxa"/>
          <w:left w:w="28" w:type="dxa"/>
          <w:bottom w:w="28" w:type="dxa"/>
          <w:right w:w="28" w:type="dxa"/>
        </w:tblCellMar>
      </w:tblPr>
      <w:tblGrid>
        <w:gridCol w:w="2416"/>
        <w:gridCol w:w="146"/>
        <w:gridCol w:w="255"/>
        <w:gridCol w:w="510"/>
        <w:gridCol w:w="146"/>
        <w:gridCol w:w="146"/>
        <w:gridCol w:w="389"/>
        <w:gridCol w:w="781"/>
        <w:gridCol w:w="47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Vendor buyback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N. EMPLOYEE BENEFIT PLANS</w:t>
      </w:r>
    </w:p>
    <w:p>
      <w:pPr>
        <w:pStyle w:val="TextBody"/>
        <w:bidi w:val="0"/>
        <w:spacing w:before="120" w:after="283"/>
        <w:jc w:val="left"/>
        <w:rPr>
          <w:rFonts w:ascii="Arial" w:hAnsi="Arial"/>
          <w:color w:val="000000"/>
          <w:sz w:val="20"/>
        </w:rPr>
      </w:pPr>
      <w:r>
        <w:rPr>
          <w:rFonts w:ascii="Arial" w:hAnsi="Arial"/>
          <w:color w:val="000000"/>
          <w:sz w:val="20"/>
        </w:rPr>
        <w:t>Components of net periodic benefit cost (credit) consisted of the following (dollars in millions):</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2956"/>
        <w:gridCol w:w="146"/>
        <w:gridCol w:w="259"/>
        <w:gridCol w:w="426"/>
        <w:gridCol w:w="204"/>
        <w:gridCol w:w="179"/>
        <w:gridCol w:w="259"/>
        <w:gridCol w:w="426"/>
        <w:gridCol w:w="166"/>
        <w:gridCol w:w="146"/>
        <w:gridCol w:w="306"/>
        <w:gridCol w:w="502"/>
        <w:gridCol w:w="211"/>
        <w:gridCol w:w="211"/>
        <w:gridCol w:w="306"/>
        <w:gridCol w:w="502"/>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Post-retirement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Prior service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Recognized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2956"/>
        <w:gridCol w:w="146"/>
        <w:gridCol w:w="228"/>
        <w:gridCol w:w="375"/>
        <w:gridCol w:w="179"/>
        <w:gridCol w:w="158"/>
        <w:gridCol w:w="228"/>
        <w:gridCol w:w="375"/>
        <w:gridCol w:w="166"/>
        <w:gridCol w:w="146"/>
        <w:gridCol w:w="301"/>
        <w:gridCol w:w="495"/>
        <w:gridCol w:w="237"/>
        <w:gridCol w:w="208"/>
        <w:gridCol w:w="301"/>
        <w:gridCol w:w="495"/>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Post-retirement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Prior service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Recognized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20"/>
        </w:rPr>
      </w:pPr>
      <w:r>
        <w:rPr>
          <w:rFonts w:ascii="Arial" w:hAnsi="Arial"/>
          <w:color w:val="000000"/>
          <w:sz w:val="20"/>
        </w:rPr>
        <w:t>The components of net periodic benefit cost (credit) other than the service cost component are included in Other (expense) income, net in the Condensed Consolidated Statements of Comprehensive Income.</w:t>
      </w:r>
    </w:p>
    <w:p>
      <w:pPr>
        <w:pStyle w:val="TextBody"/>
        <w:bidi w:val="0"/>
        <w:spacing w:before="360" w:after="283"/>
        <w:jc w:val="left"/>
        <w:rPr>
          <w:rFonts w:ascii="Arial" w:hAnsi="Arial"/>
          <w:b/>
          <w:color w:val="000000"/>
          <w:sz w:val="20"/>
        </w:rPr>
      </w:pPr>
      <w:r>
        <w:rPr>
          <w:rFonts w:ascii="Arial" w:hAnsi="Arial"/>
          <w:b/>
          <w:color w:val="000000"/>
          <w:sz w:val="20"/>
        </w:rPr>
        <w:t>NOTE O. INCOME TAXES</w:t>
      </w:r>
    </w:p>
    <w:p>
      <w:pPr>
        <w:pStyle w:val="TextBody"/>
        <w:bidi w:val="0"/>
        <w:spacing w:before="120" w:after="283"/>
        <w:jc w:val="left"/>
        <w:rPr>
          <w:rFonts w:ascii="Times New Roman" w:hAnsi="Times New Roman"/>
          <w:sz w:val="20"/>
        </w:rPr>
      </w:pPr>
      <w:r>
        <w:rPr>
          <w:rFonts w:ascii="Arial" w:hAnsi="Arial"/>
          <w:color w:val="000000"/>
          <w:sz w:val="20"/>
        </w:rPr>
        <w:t>For the three and six months ended June 30, 2026, the Company recorded total income tax expense of $47</w:t>
      </w:r>
      <w:r>
        <w:rPr>
          <w:rFonts w:ascii="Times New Roman" w:hAnsi="Times New Roman"/>
          <w:color w:val="000000"/>
          <w:sz w:val="20"/>
        </w:rPr>
        <w:t xml:space="preserve"> </w:t>
      </w:r>
      <w:r>
        <w:rPr>
          <w:rFonts w:ascii="Arial" w:hAnsi="Arial"/>
          <w:color w:val="000000"/>
          <w:sz w:val="20"/>
        </w:rPr>
        <w:t>million and $67</w:t>
      </w:r>
      <w:r>
        <w:rPr>
          <w:rFonts w:ascii="Times New Roman" w:hAnsi="Times New Roman"/>
          <w:color w:val="000000"/>
          <w:sz w:val="20"/>
        </w:rPr>
        <w:t xml:space="preserve"> </w:t>
      </w:r>
      <w:r>
        <w:rPr>
          <w:rFonts w:ascii="Arial" w:hAnsi="Arial"/>
          <w:color w:val="000000"/>
          <w:sz w:val="20"/>
        </w:rPr>
        <w:t>million, respectively. The effective tax rate for the three and six months ended June 30, 2026 was 21% and 19%, respectively. For the three and six months ended June 30, 2025, the Company recorded total income tax expense of $47</w:t>
      </w:r>
      <w:r>
        <w:rPr>
          <w:rFonts w:ascii="Times New Roman" w:hAnsi="Times New Roman"/>
          <w:color w:val="000000"/>
          <w:sz w:val="20"/>
        </w:rPr>
        <w:t xml:space="preserve"> </w:t>
      </w:r>
      <w:r>
        <w:rPr>
          <w:rFonts w:ascii="Arial" w:hAnsi="Arial"/>
          <w:color w:val="000000"/>
          <w:sz w:val="20"/>
        </w:rPr>
        <w:t>million and $88</w:t>
      </w:r>
      <w:r>
        <w:rPr>
          <w:rFonts w:ascii="Times New Roman" w:hAnsi="Times New Roman"/>
          <w:color w:val="000000"/>
          <w:sz w:val="20"/>
        </w:rPr>
        <w:t xml:space="preserve"> </w:t>
      </w:r>
      <w:r>
        <w:rPr>
          <w:rFonts w:ascii="Arial" w:hAnsi="Arial"/>
          <w:color w:val="000000"/>
          <w:sz w:val="20"/>
        </w:rPr>
        <w:t>million, respectively. The effective tax rate for each of the three and six months ended June 30, 2025 was 19%. The decrease in income tax expense for the six months ended June 30, 2026 compared to 2025 was principally driven by lower taxable income.</w:t>
      </w:r>
    </w:p>
    <w:p>
      <w:pPr>
        <w:pStyle w:val="TextBody"/>
        <w:bidi w:val="0"/>
        <w:spacing w:before="18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need to establish a valuation allowance against the deferred tax assets is assessed periodically based on a more-likely-than-not realization threshold, in accordance with authoritative accounting guidance. Management has determined, based on an evaluation of available objective and subjective evidence, that it is more likely than not that certain federal, state and foreign deferred tax assets will not be realized; therefore, these deferred tax assets are offset with a valuation allowance.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P. ACCUMULATED OTHER COMPREHENSIVE LOSS</w:t>
      </w:r>
    </w:p>
    <w:p>
      <w:pPr>
        <w:pStyle w:val="TextBody"/>
        <w:bidi w:val="0"/>
        <w:spacing w:before="120" w:after="283"/>
        <w:jc w:val="left"/>
        <w:rPr>
          <w:rFonts w:ascii="Arial" w:hAnsi="Arial"/>
          <w:color w:val="000000"/>
          <w:sz w:val="20"/>
        </w:rPr>
      </w:pPr>
      <w:r>
        <w:rPr>
          <w:rFonts w:ascii="Arial" w:hAnsi="Arial"/>
          <w:color w:val="000000"/>
          <w:sz w:val="20"/>
        </w:rPr>
        <w:t>The changes in components of AOCL consisted of the following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5"/>
        <w:gridCol w:w="146"/>
        <w:gridCol w:w="393"/>
        <w:gridCol w:w="703"/>
        <w:gridCol w:w="166"/>
        <w:gridCol w:w="146"/>
        <w:gridCol w:w="404"/>
        <w:gridCol w:w="664"/>
        <w:gridCol w:w="166"/>
        <w:gridCol w:w="146"/>
        <w:gridCol w:w="584"/>
        <w:gridCol w:w="959"/>
        <w:gridCol w:w="166"/>
        <w:gridCol w:w="146"/>
        <w:gridCol w:w="247"/>
        <w:gridCol w:w="566"/>
        <w:gridCol w:w="166"/>
        <w:gridCol w:w="146"/>
        <w:gridCol w:w="211"/>
        <w:gridCol w:w="481"/>
        <w:gridCol w:w="494"/>
      </w:tblGrid>
      <w:tr>
        <w:trPr/>
        <w:tc>
          <w:tcPr>
            <w:tcW w:w="3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w:t>
              <w:br/>
              <w:t>and OPEB</w:t>
              <w:br/>
              <w:t xml:space="preserve">liability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 rate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Cross-currency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Foreign </w:t>
              <w:br/>
              <w:t xml:space="preserve">currency </w:t>
              <w:br/>
              <w:t>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5"/>
        <w:gridCol w:w="146"/>
        <w:gridCol w:w="393"/>
        <w:gridCol w:w="703"/>
        <w:gridCol w:w="166"/>
        <w:gridCol w:w="146"/>
        <w:gridCol w:w="404"/>
        <w:gridCol w:w="664"/>
        <w:gridCol w:w="166"/>
        <w:gridCol w:w="146"/>
        <w:gridCol w:w="584"/>
        <w:gridCol w:w="959"/>
        <w:gridCol w:w="166"/>
        <w:gridCol w:w="146"/>
        <w:gridCol w:w="247"/>
        <w:gridCol w:w="566"/>
        <w:gridCol w:w="166"/>
        <w:gridCol w:w="146"/>
        <w:gridCol w:w="211"/>
        <w:gridCol w:w="481"/>
        <w:gridCol w:w="494"/>
      </w:tblGrid>
      <w:tr>
        <w:trPr/>
        <w:tc>
          <w:tcPr>
            <w:tcW w:w="3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w:t>
              <w:br/>
              <w:t>and OPEB</w:t>
              <w:br/>
              <w:t xml:space="preserve">liability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 rate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Cross-currency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Foreign </w:t>
              <w:br/>
              <w:t xml:space="preserve">currency </w:t>
              <w:br/>
              <w:t>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table shows the location in the Condensed Consolidated Statements of Comprehensive Income affected by reclassifications from AOCL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4"/>
        <w:gridCol w:w="146"/>
        <w:gridCol w:w="808"/>
        <w:gridCol w:w="1235"/>
        <w:gridCol w:w="230"/>
        <w:gridCol w:w="230"/>
        <w:gridCol w:w="808"/>
        <w:gridCol w:w="1235"/>
        <w:gridCol w:w="166"/>
        <w:gridCol w:w="146"/>
        <w:gridCol w:w="2677"/>
      </w:tblGrid>
      <w:tr>
        <w:trPr/>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 reclassified from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AOCL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6"/>
              </w:rPr>
            </w:pPr>
            <w:r>
              <w:rPr>
                <w:rFonts w:ascii="Arial" w:hAnsi="Arial"/>
                <w:b/>
                <w:color w:val="000000"/>
                <w:sz w:val="16"/>
              </w:rPr>
              <w:t>Affected line item in the Condensed</w:t>
              <w:br/>
              <w:t>Consolidated Statements of</w:t>
              <w:br/>
              <w:t>Comprehensive Income</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income, net</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r>
      <w:tr>
        <w:trPr/>
        <w:tc>
          <w:tcPr>
            <w:tcW w:w="25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r>
      <w:tr>
        <w:trPr/>
        <w:tc>
          <w:tcPr>
            <w:tcW w:w="25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6"/>
        <w:gridCol w:w="146"/>
        <w:gridCol w:w="781"/>
        <w:gridCol w:w="1197"/>
        <w:gridCol w:w="264"/>
        <w:gridCol w:w="232"/>
        <w:gridCol w:w="781"/>
        <w:gridCol w:w="1197"/>
        <w:gridCol w:w="166"/>
        <w:gridCol w:w="146"/>
        <w:gridCol w:w="2729"/>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 reclassified from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AOCL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6"/>
              </w:rPr>
            </w:pPr>
            <w:r>
              <w:rPr>
                <w:rFonts w:ascii="Arial" w:hAnsi="Arial"/>
                <w:b/>
                <w:color w:val="000000"/>
                <w:sz w:val="16"/>
              </w:rPr>
              <w:t>Affected line item in the Condensed</w:t>
              <w:br/>
              <w:t xml:space="preserve">Consolidated Statements of </w:t>
              <w:br/>
              <w:t>Comprehensive Income</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Prior service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income, net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Recognized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Prior service credits and actuarial gains are included in the computation of the Company’s net periodic benefit cost (credit). See "Note N. Employee Benefit Plans” for additional details.</w:t>
      </w:r>
    </w:p>
    <w:p>
      <w:pPr>
        <w:pStyle w:val="TextBody"/>
        <w:bidi w:val="0"/>
        <w:spacing w:before="18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Q. COMMITMENTS AND CONTINGENCIES</w:t>
      </w:r>
    </w:p>
    <w:p>
      <w:pPr>
        <w:pStyle w:val="TextBody"/>
        <w:bidi w:val="0"/>
        <w:spacing w:before="120" w:after="283"/>
        <w:jc w:val="left"/>
        <w:rPr>
          <w:rFonts w:ascii="Arial" w:hAnsi="Arial"/>
          <w:color w:val="000000"/>
          <w:sz w:val="20"/>
        </w:rPr>
      </w:pPr>
      <w:r>
        <w:rPr>
          <w:rFonts w:ascii="Arial" w:hAnsi="Arial"/>
          <w:color w:val="000000"/>
          <w:sz w:val="20"/>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R. EARNINGS PER SHARE</w:t>
      </w:r>
    </w:p>
    <w:p>
      <w:pPr>
        <w:pStyle w:val="TextBody"/>
        <w:bidi w:val="0"/>
        <w:spacing w:before="120" w:after="283"/>
        <w:jc w:val="left"/>
        <w:rPr>
          <w:rFonts w:ascii="Arial" w:hAnsi="Arial"/>
          <w:color w:val="000000"/>
          <w:sz w:val="20"/>
        </w:rPr>
      </w:pPr>
      <w:r>
        <w:rPr>
          <w:rFonts w:ascii="Arial" w:hAnsi="Arial"/>
          <w:color w:val="000000"/>
          <w:sz w:val="20"/>
        </w:rPr>
        <w:t>The following table reconciles the numerators and denominators used to calculate basic EPS and diluted EPS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8"/>
        <w:gridCol w:w="146"/>
        <w:gridCol w:w="220"/>
        <w:gridCol w:w="502"/>
        <w:gridCol w:w="151"/>
        <w:gridCol w:w="151"/>
        <w:gridCol w:w="220"/>
        <w:gridCol w:w="502"/>
        <w:gridCol w:w="146"/>
        <w:gridCol w:w="146"/>
        <w:gridCol w:w="211"/>
        <w:gridCol w:w="481"/>
        <w:gridCol w:w="146"/>
        <w:gridCol w:w="146"/>
        <w:gridCol w:w="211"/>
        <w:gridCol w:w="481"/>
        <w:gridCol w:w="477"/>
      </w:tblGrid>
      <w:tr>
        <w:trPr/>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six months ended June 30, 2026 and 2025, there were no</w:t>
      </w:r>
      <w:r>
        <w:rPr>
          <w:rFonts w:ascii="Times New Roman" w:hAnsi="Times New Roman"/>
          <w:color w:val="000000"/>
          <w:sz w:val="20"/>
        </w:rPr>
        <w:t xml:space="preserve"> </w:t>
      </w:r>
      <w:r>
        <w:rPr>
          <w:rFonts w:ascii="Arial" w:hAnsi="Arial"/>
          <w:color w:val="000000"/>
          <w:sz w:val="20"/>
        </w:rPr>
        <w:t>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pStyle w:val="TextBody"/>
        <w:bidi w:val="0"/>
        <w:spacing w:before="240" w:after="283"/>
        <w:jc w:val="left"/>
        <w:rPr>
          <w:rFonts w:ascii="Arial" w:hAnsi="Arial"/>
          <w:b/>
          <w:color w:val="000000"/>
          <w:sz w:val="20"/>
        </w:rPr>
      </w:pPr>
      <w:r>
        <w:rPr>
          <w:rFonts w:ascii="Arial" w:hAnsi="Arial"/>
          <w:b/>
          <w:color w:val="000000"/>
          <w:sz w:val="20"/>
        </w:rPr>
        <w:t>NOTE S. COMMON STOCK</w:t>
      </w:r>
    </w:p>
    <w:p>
      <w:pPr>
        <w:pStyle w:val="TextBody"/>
        <w:bidi w:val="0"/>
        <w:spacing w:before="120" w:after="283"/>
        <w:jc w:val="left"/>
        <w:rPr>
          <w:rFonts w:ascii="Times New Roman" w:hAnsi="Times New Roman"/>
          <w:sz w:val="20"/>
        </w:rPr>
      </w:pPr>
      <w:bookmarkStart w:id="11" w:name="end_of_notes_to_financial_statements"/>
      <w:bookmarkEnd w:id="11"/>
      <w:r>
        <w:rPr>
          <w:rFonts w:ascii="Arial" w:hAnsi="Arial"/>
          <w:color w:val="000000"/>
          <w:sz w:val="20"/>
        </w:rPr>
        <w:t>The Board of Directors has authorized the Company to repurchase up to $5,000</w:t>
      </w:r>
      <w:r>
        <w:rPr>
          <w:rFonts w:ascii="Times New Roman" w:hAnsi="Times New Roman"/>
          <w:color w:val="000000"/>
          <w:sz w:val="20"/>
        </w:rPr>
        <w:t xml:space="preserve"> </w:t>
      </w:r>
      <w:r>
        <w:rPr>
          <w:rFonts w:ascii="Arial" w:hAnsi="Arial"/>
          <w:color w:val="000000"/>
          <w:sz w:val="20"/>
        </w:rPr>
        <w:t>million of its common stock pursuant to a stock repurchase program (the "Repurchase Program"). During the three and six months ended June 30, 2026, the Company repurchased approximately $47</w:t>
      </w:r>
      <w:r>
        <w:rPr>
          <w:rFonts w:ascii="Times New Roman" w:hAnsi="Times New Roman"/>
          <w:color w:val="000000"/>
          <w:sz w:val="20"/>
        </w:rPr>
        <w:t xml:space="preserve"> </w:t>
      </w:r>
      <w:r>
        <w:rPr>
          <w:rFonts w:ascii="Arial" w:hAnsi="Arial"/>
          <w:color w:val="000000"/>
          <w:sz w:val="20"/>
        </w:rPr>
        <w:t>million and $67</w:t>
      </w:r>
      <w:r>
        <w:rPr>
          <w:rFonts w:ascii="Times New Roman" w:hAnsi="Times New Roman"/>
          <w:color w:val="000000"/>
          <w:sz w:val="20"/>
        </w:rPr>
        <w:t xml:space="preserve"> </w:t>
      </w:r>
      <w:r>
        <w:rPr>
          <w:rFonts w:ascii="Arial" w:hAnsi="Arial"/>
          <w:color w:val="000000"/>
          <w:sz w:val="20"/>
        </w:rPr>
        <w:t>million, respectively, of its common stock under the Repurchase Program, leaving $1,125</w:t>
      </w:r>
      <w:r>
        <w:rPr>
          <w:rFonts w:ascii="Times New Roman" w:hAnsi="Times New Roman"/>
          <w:color w:val="000000"/>
          <w:sz w:val="20"/>
        </w:rPr>
        <w:t xml:space="preserve"> </w:t>
      </w:r>
      <w:r>
        <w:rPr>
          <w:rFonts w:ascii="Arial" w:hAnsi="Arial"/>
          <w:color w:val="000000"/>
          <w:sz w:val="20"/>
        </w:rPr>
        <w:t>million of authorized repurchases remaining under the Repurchase Program as of June 30, 2026.</w:t>
      </w:r>
      <w:r>
        <w:rPr>
          <w:rFonts w:ascii="Times New Roman" w:hAnsi="Times New Roman"/>
          <w:color w:val="000000"/>
          <w:sz w:val="20"/>
        </w:rPr>
        <w:t xml:space="preserve"> </w:t>
      </w:r>
      <w:r>
        <w:rPr>
          <w:rFonts w:ascii="Arial" w:hAnsi="Arial"/>
          <w:color w:val="000000"/>
          <w:sz w:val="20"/>
        </w:rPr>
        <w:t>The Repurchase Program has no termination date, and the</w:t>
      </w:r>
      <w:r>
        <w:rPr>
          <w:rFonts w:ascii="Times New Roman" w:hAnsi="Times New Roman"/>
          <w:color w:val="000000"/>
          <w:sz w:val="20"/>
        </w:rPr>
        <w:t xml:space="preserve"> </w:t>
      </w:r>
      <w:r>
        <w:rPr>
          <w:rFonts w:ascii="Arial" w:hAnsi="Arial"/>
          <w:color w:val="000000"/>
          <w:sz w:val="20"/>
        </w:rPr>
        <w:t>timing and amount of stock purchases are subject to market conditions and corporate needs. The Repurchase Program may be modified, suspended or discontinued at any time at the Company’s discretion.</w:t>
      </w:r>
    </w:p>
    <w:p>
      <w:pPr>
        <w:pStyle w:val="TextBody"/>
        <w:bidi w:val="0"/>
        <w:spacing w:before="18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T.</w:t>
      </w:r>
      <w:r>
        <w:rPr>
          <w:rFonts w:ascii="Times New Roman" w:hAnsi="Times New Roman"/>
          <w:color w:val="000000"/>
          <w:sz w:val="20"/>
        </w:rPr>
        <w:t xml:space="preserve"> </w:t>
      </w:r>
      <w:r>
        <w:rPr>
          <w:rFonts w:ascii="Arial" w:hAnsi="Arial"/>
          <w:b/>
          <w:color w:val="000000"/>
          <w:sz w:val="20"/>
        </w:rPr>
        <w:t>SEGMENT INFORMATION</w:t>
      </w:r>
    </w:p>
    <w:p>
      <w:pPr>
        <w:pStyle w:val="TextBody"/>
        <w:bidi w:val="0"/>
        <w:spacing w:before="120" w:after="283"/>
        <w:jc w:val="left"/>
        <w:rPr>
          <w:rFonts w:ascii="Arial" w:hAnsi="Arial"/>
          <w:color w:val="000000"/>
          <w:sz w:val="20"/>
        </w:rPr>
      </w:pPr>
      <w:r>
        <w:rPr>
          <w:rFonts w:ascii="Arial" w:hAnsi="Arial"/>
          <w:color w:val="000000"/>
          <w:sz w:val="20"/>
        </w:rPr>
        <w:t>The Company’s chief operating decision maker (“CODM”) is its Chair, President and Chief Executive Officer. The CODM evaluates the Company’s segment operating performance and makes decisions regarding the allocation of resources based on Segment Operating Profit (Loss).</w:t>
      </w:r>
    </w:p>
    <w:p>
      <w:pPr>
        <w:pStyle w:val="TextBody"/>
        <w:bidi w:val="0"/>
        <w:spacing w:before="120" w:after="283"/>
        <w:jc w:val="left"/>
        <w:rPr>
          <w:rFonts w:ascii="Times New Roman" w:hAnsi="Times New Roman"/>
          <w:sz w:val="20"/>
        </w:rPr>
      </w:pPr>
      <w:r>
        <w:rPr>
          <w:rFonts w:ascii="Arial" w:hAnsi="Arial"/>
          <w:color w:val="000000"/>
          <w:sz w:val="20"/>
        </w:rPr>
        <w:t>The CODM assesses segment performance utilizing Segment Operating Profit (Loss) primarily through comparisons of budgeted results to actual results and period</w:t>
        <w:noBreakHyphen/>
        <w:t>over</w:t>
        <w:noBreakHyphen/>
        <w:t>period variances. Certain variances identified through this analysis are evaluated to assist the CODM in assessing segment operating performance and making resource allocation decisions.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significant expenses that are regularly provided to the CODM and included in Segment Operating Profit (Loss) are cost of sales, selling, general and administrative expenses, and engineering — research and development expenses.</w:t>
      </w:r>
    </w:p>
    <w:p>
      <w:pPr>
        <w:pStyle w:val="TextBody"/>
        <w:bidi w:val="0"/>
        <w:spacing w:before="120" w:after="283"/>
        <w:jc w:val="left"/>
        <w:rPr>
          <w:rFonts w:ascii="Times New Roman" w:hAnsi="Times New Roman"/>
          <w:sz w:val="20"/>
        </w:rPr>
      </w:pPr>
      <w:r>
        <w:rPr>
          <w:rFonts w:ascii="Arial" w:hAnsi="Arial"/>
          <w:color w:val="000000"/>
          <w:sz w:val="20"/>
        </w:rPr>
        <w:t>Corporate costs are presented separately from the Company’s reportable segments and consist primarily of centralized corporate functions. These costs also include non-recurring costs associated with the Acquisition, primarily integration</w:t>
        <w:noBreakHyphen/>
        <w:t>related activities. Such costs are not allocated to the Company’s reportable segments, as they are not reviewed by the CODM on a segment basis when assessing performance or making resource allocation decisions. The Company does not present total assets by segment because the CODM is not regularly provided total assets by segment nor are they included in a segment measure utilized by the CODM.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During the three months ended March 31, 2026, the</w:t>
      </w:r>
      <w:r>
        <w:rPr>
          <w:rFonts w:ascii="Times New Roman" w:hAnsi="Times New Roman"/>
          <w:color w:val="000000"/>
          <w:sz w:val="20"/>
        </w:rPr>
        <w:t xml:space="preserve"> </w:t>
      </w:r>
      <w:r>
        <w:rPr>
          <w:rFonts w:ascii="Arial" w:hAnsi="Arial"/>
          <w:color w:val="000000"/>
          <w:sz w:val="20"/>
        </w:rPr>
        <w:t>Company changed its segment structure from one</w:t>
      </w:r>
      <w:r>
        <w:rPr>
          <w:rFonts w:ascii="Times New Roman" w:hAnsi="Times New Roman"/>
          <w:color w:val="000000"/>
          <w:sz w:val="20"/>
        </w:rPr>
        <w:t xml:space="preserve"> </w:t>
      </w:r>
      <w:r>
        <w:rPr>
          <w:rFonts w:ascii="Arial" w:hAnsi="Arial"/>
          <w:color w:val="000000"/>
          <w:sz w:val="20"/>
        </w:rPr>
        <w:t>operating and reportable segment to two</w:t>
      </w:r>
      <w:r>
        <w:rPr>
          <w:rFonts w:ascii="Times New Roman" w:hAnsi="Times New Roman"/>
          <w:color w:val="000000"/>
          <w:sz w:val="20"/>
        </w:rPr>
        <w:t xml:space="preserve"> </w:t>
      </w:r>
      <w:r>
        <w:rPr>
          <w:rFonts w:ascii="Arial" w:hAnsi="Arial"/>
          <w:color w:val="000000"/>
          <w:sz w:val="20"/>
        </w:rPr>
        <w:t>operating and reportable segments to align with the Acquisition and the manner in which the CODM now reviews operating results and allocates resources. Prior</w:t>
        <w:noBreakHyphen/>
        <w:t>period segment information has been retrospectively adjusted to conform to the current period presentation. The Company’s two operating and reportable segments are:</w:t>
      </w:r>
    </w:p>
    <w:p>
      <w:pPr>
        <w:pStyle w:val="TextBody"/>
        <w:bidi w:val="0"/>
        <w:spacing w:before="120" w:after="283"/>
        <w:jc w:val="left"/>
        <w:rPr>
          <w:rFonts w:ascii="Arial" w:hAnsi="Arial"/>
          <w:i/>
          <w:color w:val="000000"/>
          <w:sz w:val="20"/>
          <w:u w:val="single"/>
        </w:rPr>
      </w:pPr>
      <w:r>
        <w:rPr>
          <w:rFonts w:ascii="Arial" w:hAnsi="Arial"/>
          <w:i/>
          <w:color w:val="000000"/>
          <w:sz w:val="20"/>
          <w:u w:val="single"/>
        </w:rPr>
        <w:t>Allison Transmission</w:t>
      </w:r>
    </w:p>
    <w:p>
      <w:pPr>
        <w:pStyle w:val="TextBody"/>
        <w:bidi w:val="0"/>
        <w:spacing w:before="120" w:after="283"/>
        <w:jc w:val="left"/>
        <w:rPr>
          <w:rFonts w:ascii="Times New Roman" w:hAnsi="Times New Roman"/>
          <w:sz w:val="20"/>
        </w:rPr>
      </w:pPr>
      <w:r>
        <w:rPr>
          <w:rFonts w:ascii="Arial" w:hAnsi="Arial"/>
          <w:color w:val="000000"/>
          <w:sz w:val="20"/>
        </w:rPr>
        <w:t>Allison Transmission offers more than 200</w:t>
      </w:r>
      <w:r>
        <w:rPr>
          <w:rFonts w:ascii="Times New Roman" w:hAnsi="Times New Roman"/>
          <w:color w:val="000000"/>
          <w:sz w:val="20"/>
        </w:rPr>
        <w:t xml:space="preserve"> </w:t>
      </w:r>
      <w:r>
        <w:rPr>
          <w:rFonts w:ascii="Arial" w:hAnsi="Arial"/>
          <w:color w:val="000000"/>
          <w:sz w:val="20"/>
        </w:rPr>
        <w:t>different transmission models compatible with more than 500</w:t>
      </w:r>
      <w:r>
        <w:rPr>
          <w:rFonts w:ascii="Times New Roman" w:hAnsi="Times New Roman"/>
          <w:color w:val="000000"/>
          <w:sz w:val="20"/>
        </w:rPr>
        <w:t xml:space="preserve"> </w:t>
      </w:r>
      <w:r>
        <w:rPr>
          <w:rFonts w:ascii="Arial" w:hAnsi="Arial"/>
          <w:color w:val="000000"/>
          <w:sz w:val="20"/>
        </w:rPr>
        <w:t>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pStyle w:val="TextBody"/>
        <w:bidi w:val="0"/>
        <w:spacing w:before="120" w:after="283"/>
        <w:jc w:val="left"/>
        <w:rPr>
          <w:rFonts w:ascii="Arial" w:hAnsi="Arial"/>
          <w:i/>
          <w:color w:val="000000"/>
          <w:sz w:val="20"/>
          <w:u w:val="single"/>
        </w:rPr>
      </w:pPr>
      <w:r>
        <w:rPr>
          <w:rFonts w:ascii="Arial" w:hAnsi="Arial"/>
          <w:i/>
          <w:color w:val="000000"/>
          <w:sz w:val="20"/>
          <w:u w:val="single"/>
        </w:rPr>
        <w:t>Allison Off-Highway</w:t>
      </w:r>
    </w:p>
    <w:p>
      <w:pPr>
        <w:pStyle w:val="TextBody"/>
        <w:bidi w:val="0"/>
        <w:spacing w:before="12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globally.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Allison Off-Highway supports localized responsiveness and technical support for customers in key off-highway end markets.</w:t>
      </w:r>
    </w:p>
    <w:p>
      <w:pPr>
        <w:pStyle w:val="TextBody"/>
        <w:bidi w:val="0"/>
        <w:spacing w:before="120" w:after="283"/>
        <w:jc w:val="left"/>
        <w:rPr>
          <w:rFonts w:ascii="Arial" w:hAnsi="Arial"/>
          <w:color w:val="000000"/>
          <w:sz w:val="20"/>
        </w:rPr>
      </w:pPr>
      <w:r>
        <w:rPr>
          <w:rFonts w:ascii="Arial" w:hAnsi="Arial"/>
          <w:color w:val="000000"/>
          <w:sz w:val="20"/>
        </w:rPr>
        <w:t>The accounting policies of the reportable segments are the same as those described in the summary of significant accounting policies. The Company’s segment information includes the measures reviewed by the CODM and is presented in a manner consistent with internal management reporting.</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presents a financial summary of the Company’s reportable segments (dollars in millions):</w:t>
      </w:r>
    </w:p>
    <w:p>
      <w:pPr>
        <w:pStyle w:val="TextBody"/>
        <w:bidi w:val="0"/>
        <w:jc w:val="left"/>
        <w:rPr/>
      </w:pPr>
      <w:r>
        <w:rPr/>
        <w:t> </w:t>
      </w:r>
    </w:p>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4066"/>
        <w:gridCol w:w="594"/>
        <w:gridCol w:w="1191"/>
        <w:gridCol w:w="158"/>
        <w:gridCol w:w="158"/>
        <w:gridCol w:w="569"/>
        <w:gridCol w:w="1141"/>
        <w:gridCol w:w="158"/>
        <w:gridCol w:w="158"/>
        <w:gridCol w:w="356"/>
        <w:gridCol w:w="994"/>
        <w:gridCol w:w="471"/>
      </w:tblGrid>
      <w:tr>
        <w:trPr/>
        <w:tc>
          <w:tcPr>
            <w:tcW w:w="40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588</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Segment Operating Profit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of property, plant and equipment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74" w:type="dxa"/>
        <w:jc w:val="left"/>
        <w:tblInd w:w="0" w:type="dxa"/>
        <w:tblLayout w:type="fixed"/>
        <w:tblCellMar>
          <w:top w:w="28" w:type="dxa"/>
          <w:left w:w="28" w:type="dxa"/>
          <w:bottom w:w="28" w:type="dxa"/>
          <w:right w:w="28" w:type="dxa"/>
        </w:tblCellMar>
      </w:tblPr>
      <w:tblGrid>
        <w:gridCol w:w="4066"/>
        <w:gridCol w:w="594"/>
        <w:gridCol w:w="1191"/>
        <w:gridCol w:w="173"/>
        <w:gridCol w:w="173"/>
        <w:gridCol w:w="646"/>
        <w:gridCol w:w="1064"/>
        <w:gridCol w:w="173"/>
        <w:gridCol w:w="173"/>
        <w:gridCol w:w="449"/>
        <w:gridCol w:w="901"/>
        <w:gridCol w:w="471"/>
      </w:tblGrid>
      <w:tr>
        <w:trPr/>
        <w:tc>
          <w:tcPr>
            <w:tcW w:w="40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Segment Operating Profit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of property, plant and equipment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22" w:type="dxa"/>
        <w:jc w:val="left"/>
        <w:tblInd w:w="0" w:type="dxa"/>
        <w:tblLayout w:type="fixed"/>
        <w:tblCellMar>
          <w:top w:w="28" w:type="dxa"/>
          <w:left w:w="28" w:type="dxa"/>
          <w:bottom w:w="28" w:type="dxa"/>
          <w:right w:w="28" w:type="dxa"/>
        </w:tblCellMar>
      </w:tblPr>
      <w:tblGrid>
        <w:gridCol w:w="4066"/>
        <w:gridCol w:w="471"/>
        <w:gridCol w:w="1314"/>
        <w:gridCol w:w="160"/>
        <w:gridCol w:w="160"/>
        <w:gridCol w:w="452"/>
        <w:gridCol w:w="1258"/>
        <w:gridCol w:w="160"/>
        <w:gridCol w:w="160"/>
        <w:gridCol w:w="356"/>
        <w:gridCol w:w="994"/>
        <w:gridCol w:w="471"/>
      </w:tblGrid>
      <w:tr>
        <w:trPr/>
        <w:tc>
          <w:tcPr>
            <w:tcW w:w="4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Segment Operating Profit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of property, plant and equipment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4066"/>
        <w:gridCol w:w="471"/>
        <w:gridCol w:w="1314"/>
        <w:gridCol w:w="174"/>
        <w:gridCol w:w="174"/>
        <w:gridCol w:w="646"/>
        <w:gridCol w:w="1064"/>
        <w:gridCol w:w="174"/>
        <w:gridCol w:w="174"/>
        <w:gridCol w:w="357"/>
        <w:gridCol w:w="993"/>
        <w:gridCol w:w="471"/>
      </w:tblGrid>
      <w:tr>
        <w:trPr/>
        <w:tc>
          <w:tcPr>
            <w:tcW w:w="4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Segment Operating Profit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of property, plant and equipment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of reportable segments’ Total Segment Operating Profit to Income before income taxes included in the Condensed Consolidated Statements of Comprehensive Income for the three and six months ended June 30, 2026 and 2025 is as follows (dollars in millions):</w:t>
      </w:r>
    </w:p>
    <w:p>
      <w:pPr>
        <w:pStyle w:val="TextBody"/>
        <w:bidi w:val="0"/>
        <w:jc w:val="left"/>
        <w:rPr/>
      </w:pPr>
      <w:r>
        <w:rPr/>
        <w:t> </w:t>
      </w:r>
    </w:p>
    <w:tbl>
      <w:tblPr>
        <w:tblW w:w="6910" w:type="dxa"/>
        <w:jc w:val="left"/>
        <w:tblInd w:w="0" w:type="dxa"/>
        <w:tblLayout w:type="fixed"/>
        <w:tblCellMar>
          <w:top w:w="28" w:type="dxa"/>
          <w:left w:w="28" w:type="dxa"/>
          <w:bottom w:w="28" w:type="dxa"/>
          <w:right w:w="28" w:type="dxa"/>
        </w:tblCellMar>
      </w:tblPr>
      <w:tblGrid>
        <w:gridCol w:w="2851"/>
        <w:gridCol w:w="146"/>
        <w:gridCol w:w="235"/>
        <w:gridCol w:w="469"/>
        <w:gridCol w:w="184"/>
        <w:gridCol w:w="162"/>
        <w:gridCol w:w="235"/>
        <w:gridCol w:w="469"/>
        <w:gridCol w:w="166"/>
        <w:gridCol w:w="146"/>
        <w:gridCol w:w="211"/>
        <w:gridCol w:w="481"/>
        <w:gridCol w:w="166"/>
        <w:gridCol w:w="146"/>
        <w:gridCol w:w="211"/>
        <w:gridCol w:w="421"/>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Central group function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Central group function costs not allocated to the segments include certain executive management, finance, legal, information technology and public company costs, Acquisition-related costs and other general administrative expenses.</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826"/>
        <w:gridCol w:w="8461"/>
      </w:tblGrid>
      <w:tr>
        <w:trPr/>
        <w:tc>
          <w:tcPr>
            <w:tcW w:w="82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12" w:name="managements_discussion_analysis_financia"/>
            <w:bookmarkEnd w:id="12"/>
            <w:r>
              <w:rPr>
                <w:rFonts w:ascii="Arial" w:hAnsi="Arial"/>
                <w:b/>
                <w:color w:val="000000"/>
                <w:sz w:val="20"/>
              </w:rPr>
              <w:t>Management’s Discussion and Analysis of Financial Condition and Results of Operations</w:t>
            </w:r>
          </w:p>
        </w:tc>
      </w:tr>
    </w:tbl>
    <w:p>
      <w:pPr>
        <w:pStyle w:val="TextBody"/>
        <w:bidi w:val="0"/>
        <w:spacing w:before="120" w:after="283"/>
        <w:jc w:val="left"/>
        <w:rPr>
          <w:rFonts w:ascii="Arial" w:hAnsi="Arial"/>
          <w:i/>
          <w:color w:val="000000"/>
          <w:sz w:val="20"/>
        </w:rPr>
      </w:pPr>
      <w:r>
        <w:rPr>
          <w:rFonts w:ascii="Arial" w:hAnsi="Arial"/>
          <w:i/>
          <w:color w:val="000000"/>
          <w:sz w:val="20"/>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pStyle w:val="TextBody"/>
        <w:bidi w:val="0"/>
        <w:spacing w:before="120" w:after="283"/>
        <w:jc w:val="left"/>
        <w:rPr>
          <w:rFonts w:ascii="Arial" w:hAnsi="Arial"/>
          <w:i/>
          <w:color w:val="000000"/>
          <w:sz w:val="20"/>
        </w:rPr>
      </w:pPr>
      <w:r>
        <w:rPr>
          <w:rFonts w:ascii="Arial" w:hAnsi="Arial"/>
          <w:i/>
          <w:color w:val="000000"/>
          <w:sz w:val="20"/>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2025 as filed with the Securities and Exchange Commission ("SEC") on February 24, 2026. Our actual results may differ materially from those contained in or implied by any forward-looking statements.</w:t>
      </w:r>
    </w:p>
    <w:p>
      <w:pPr>
        <w:pStyle w:val="TextBody"/>
        <w:bidi w:val="0"/>
        <w:spacing w:before="120" w:after="283"/>
        <w:jc w:val="left"/>
        <w:rPr>
          <w:rFonts w:ascii="Arial" w:hAnsi="Arial"/>
          <w:b/>
          <w:color w:val="000000"/>
          <w:sz w:val="20"/>
        </w:rPr>
      </w:pPr>
      <w:r>
        <w:rPr>
          <w:rFonts w:ascii="Arial" w:hAnsi="Arial"/>
          <w:b/>
          <w:color w:val="000000"/>
          <w:sz w:val="20"/>
        </w:rPr>
        <w:t>Overview</w:t>
      </w:r>
    </w:p>
    <w:p>
      <w:pPr>
        <w:pStyle w:val="TextBody"/>
        <w:bidi w:val="0"/>
        <w:spacing w:before="180" w:after="283"/>
        <w:jc w:val="left"/>
        <w:rPr>
          <w:rFonts w:ascii="Arial" w:hAnsi="Arial"/>
          <w:color w:val="000000"/>
          <w:sz w:val="20"/>
        </w:rPr>
      </w:pPr>
      <w:r>
        <w:rPr>
          <w:rFonts w:ascii="Arial" w:hAnsi="Arial"/>
          <w:color w:val="000000"/>
          <w:sz w:val="20"/>
        </w:rPr>
        <w:t>Allison Transmission Holdings, Inc. and its subsidiaries (“Allison,” “we,” “us” or “our”) is a global leader in high-performance mobility and work solutions built for the needs of the modern industrial world. The business was founded in 1915 and has been headquartered in Indianapolis, Indiana since inception. Allison is traded on the New York Stock Exchange under the symbol “ALSN”.</w:t>
      </w:r>
    </w:p>
    <w:p>
      <w:pPr>
        <w:pStyle w:val="TextBody"/>
        <w:bidi w:val="0"/>
        <w:spacing w:before="120" w:after="283"/>
        <w:jc w:val="left"/>
        <w:rPr>
          <w:rFonts w:ascii="Arial" w:hAnsi="Arial"/>
          <w:color w:val="000000"/>
          <w:sz w:val="20"/>
        </w:rPr>
      </w:pPr>
      <w:r>
        <w:rPr>
          <w:rFonts w:ascii="Arial" w:hAnsi="Arial"/>
          <w:color w:val="000000"/>
          <w:sz w:val="20"/>
        </w:rPr>
        <w:t>On January 1, 2026 (the "Closing Date"), we completed the acquisition of Dana Incorporated's ("Dana") off-highway business (the "Acquired Off-Highway Business”) for a purchase price of approximately $2,628 million (the "Acquisition"). We have a global presence serving customers in North America, Asia, Europe, South America, and Africa and have further expanded our operations in these regions as a result of the Acquisition.</w:t>
      </w:r>
    </w:p>
    <w:p>
      <w:pPr>
        <w:pStyle w:val="TextBody"/>
        <w:bidi w:val="0"/>
        <w:spacing w:before="120" w:after="283"/>
        <w:jc w:val="left"/>
        <w:rPr>
          <w:rFonts w:ascii="Arial" w:hAnsi="Arial"/>
          <w:b/>
          <w:color w:val="000000"/>
          <w:sz w:val="20"/>
        </w:rPr>
      </w:pPr>
      <w:r>
        <w:rPr>
          <w:rFonts w:ascii="Arial" w:hAnsi="Arial"/>
          <w:b/>
          <w:color w:val="000000"/>
          <w:sz w:val="20"/>
        </w:rPr>
        <w:t>Recent Developments</w:t>
      </w:r>
    </w:p>
    <w:p>
      <w:pPr>
        <w:pStyle w:val="TextBody"/>
        <w:bidi w:val="0"/>
        <w:spacing w:before="180" w:after="283"/>
        <w:jc w:val="left"/>
        <w:rPr>
          <w:rFonts w:ascii="Arial" w:hAnsi="Arial"/>
          <w:color w:val="000000"/>
          <w:sz w:val="20"/>
        </w:rPr>
      </w:pPr>
      <w:r>
        <w:rPr>
          <w:rFonts w:ascii="Arial" w:hAnsi="Arial"/>
          <w:color w:val="000000"/>
          <w:sz w:val="20"/>
        </w:rPr>
        <w:t>The Acquisition was completed using a combination of cash on hand, $500 million of proceeds from the issuance of 5.875% Senior Notes due December 2033 by Allison Transmission, Inc. ("ATI"), our wholly-owned subsidiary (the "5.875% Senior Notes 2033"), proceeds from borrowings under an incremental term loan facility under the Second Amended and Restated Credit Agreement dated as of March 29, 2019, as amended (the “Credit Agreement”), in an aggregate principal amount equal to $1,200 million (the “Incremental Term Loan”), and $300 million of borrowings under ATI’s revolving credit facility with commitments in the amount of $1,000 million due January 2031 (the “Revolving Credit Facility”). In connection with the Acquisition, we entered into a commitment letter with a group of lenders (the "Lenders"), pursuant to which the Lenders committed to provide a 364-day senior unsecured bridge term loan facility (the “Bridge Facility”), in an aggregate principal amount of up to $2,000 million. As of December 31, 2025, the Bridge Facility aggregate commitment principal amount had been reduced to $500 million as a result of the issuance of the 5.875% Senior Notes 2033 and our election to voluntarily reduce the aggregate commitments under the Bridge Facility. No amount was drawn from the Bridge Facility, and it was terminated upon completion of the Acquisition on the Closing Date.</w:t>
      </w:r>
    </w:p>
    <w:p>
      <w:pPr>
        <w:pStyle w:val="TextBody"/>
        <w:bidi w:val="0"/>
        <w:spacing w:before="180" w:after="283"/>
        <w:jc w:val="left"/>
        <w:rPr>
          <w:rFonts w:ascii="Arial" w:hAnsi="Arial"/>
          <w:color w:val="000000"/>
          <w:sz w:val="20"/>
        </w:rPr>
      </w:pPr>
      <w:r>
        <w:rPr>
          <w:rFonts w:ascii="Arial" w:hAnsi="Arial"/>
          <w:color w:val="000000"/>
          <w:sz w:val="20"/>
        </w:rPr>
        <w:t>As a result of the Acquisition, we now offer an expanded portfolio of drivetrain, motion and propulsion solutions, providing complementary product breadth and an enhanced ability to support customers across multiple end markets. The Acquired Off-Highway Business has historically served end markets with demand characteristics that differ from our traditional on-highway markets, contributing to a more diversified portfolio.</w:t>
      </w:r>
    </w:p>
    <w:p>
      <w:pPr>
        <w:pStyle w:val="TextBody"/>
        <w:bidi w:val="0"/>
        <w:spacing w:before="180" w:after="283"/>
        <w:jc w:val="left"/>
        <w:rPr>
          <w:rFonts w:ascii="Times New Roman" w:hAnsi="Times New Roman"/>
          <w:sz w:val="20"/>
        </w:rPr>
      </w:pPr>
      <w:r>
        <w:rPr>
          <w:rFonts w:ascii="Arial" w:hAnsi="Arial"/>
          <w:color w:val="000000"/>
          <w:sz w:val="20"/>
        </w:rPr>
        <w:t>Following the Acquisition, we continue to operate under the Allison name, but our operations are now comprised of two operating and reportable segments: Allison Transmission and Allison Off-Highway Drive &amp; Motion Systems ("Allison Off-Highway"). All prior period reportable segment information has been reclassified to conform to</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current presentation. For additional discussion regarding our segments, including the changes made, see “Note T. Segment Information” in Part I, Item 1 of this Quarterly Report on Form 10-Q. Segment leadership is located globally, reflecting the international nature of our operations and the importance of local market insights, sourcing, production and customer support.</w:t>
      </w:r>
    </w:p>
    <w:p>
      <w:pPr>
        <w:pStyle w:val="TextBody"/>
        <w:bidi w:val="0"/>
        <w:spacing w:before="180" w:after="283"/>
        <w:jc w:val="left"/>
        <w:rPr>
          <w:rFonts w:ascii="Arial" w:hAnsi="Arial"/>
          <w:color w:val="000000"/>
          <w:sz w:val="20"/>
        </w:rPr>
      </w:pPr>
      <w:r>
        <w:rPr>
          <w:rFonts w:ascii="Arial" w:hAnsi="Arial"/>
          <w:color w:val="000000"/>
          <w:sz w:val="20"/>
        </w:rPr>
        <w:t>Allison Transmission serves customers through an independent global network of approximately 1,500 independent distributor and dealer locations worldwide and offers more than 200 different transmission models compatible with more than 500 combinations of engine brands, models and ratings, including diesel, gasoline, natural gas and other alternative fuels. In addition, Allison Transmission has developed thousands of proprietary calibrations available for use with our electronic control modules, enabling tailored performance across a broad range of customer applications.</w:t>
      </w:r>
    </w:p>
    <w:p>
      <w:pPr>
        <w:pStyle w:val="TextBody"/>
        <w:bidi w:val="0"/>
        <w:spacing w:before="18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pStyle w:val="TextBody"/>
        <w:bidi w:val="0"/>
        <w:spacing w:before="120" w:after="283"/>
        <w:jc w:val="left"/>
        <w:rPr>
          <w:rFonts w:ascii="Arial" w:hAnsi="Arial"/>
          <w:b/>
          <w:color w:val="000000"/>
          <w:sz w:val="20"/>
        </w:rPr>
      </w:pPr>
      <w:r>
        <w:rPr>
          <w:rFonts w:ascii="Arial" w:hAnsi="Arial"/>
          <w:b/>
          <w:color w:val="000000"/>
          <w:sz w:val="20"/>
        </w:rPr>
        <w:t>Trends Impacting Our Business</w:t>
      </w:r>
    </w:p>
    <w:p>
      <w:pPr>
        <w:pStyle w:val="TextBody"/>
        <w:bidi w:val="0"/>
        <w:spacing w:before="180" w:after="283"/>
        <w:jc w:val="left"/>
        <w:rPr>
          <w:rFonts w:ascii="Arial" w:hAnsi="Arial"/>
          <w:color w:val="000000"/>
          <w:sz w:val="20"/>
        </w:rPr>
      </w:pPr>
      <w:r>
        <w:rPr>
          <w:rFonts w:ascii="Arial" w:hAnsi="Arial"/>
          <w:color w:val="000000"/>
          <w:sz w:val="20"/>
        </w:rPr>
        <w:t>In 2026, we expect to have higher net sales driven by the addition of Allison Off-Highway and higher net sales in Allison Transmission driven primarily by the Defense and On-Highway end markets.</w:t>
      </w:r>
    </w:p>
    <w:p>
      <w:pPr>
        <w:pStyle w:val="TextBody"/>
        <w:bidi w:val="0"/>
        <w:spacing w:before="18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Key Components of our Results of Operations</w:t>
      </w:r>
    </w:p>
    <w:p>
      <w:pPr>
        <w:pStyle w:val="TextBody"/>
        <w:bidi w:val="0"/>
        <w:spacing w:before="120" w:after="283"/>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We generate our net sales primarily from the sale of high performance mobility and work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Our primary components of cost of sales are purchased parts, the overhead expense related to our manufacturing operations and direct labor associated with the manufacture and assembly of vehicle propulsion solutions and parts. For the six months ended June 30, 2026, direct material costs were approximately 64%, overhead costs were approximately 30%, and direct labor costs were approximately 6%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We incur costs in connection with research and development programs that are expected to contribute to future earnings. Such costs are expensed as incurred.</w:t>
      </w:r>
    </w:p>
    <w:p>
      <w:pPr>
        <w:pStyle w:val="TextBody"/>
        <w:bidi w:val="0"/>
        <w:spacing w:before="18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Allison Consolidated Comparison of the three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three months ended June 30, 2026 and 2025. The following table and discussion should be read in conjunction with the information contained in our condensed consolidated financial statements and the notes thereto included in Part I, Item 1 of this Quarterly Report on Form 10-Q.</w:t>
      </w:r>
    </w:p>
    <w:tbl>
      <w:tblPr>
        <w:tblW w:w="9453" w:type="dxa"/>
        <w:jc w:val="left"/>
        <w:tblInd w:w="0" w:type="dxa"/>
        <w:tblLayout w:type="fixed"/>
        <w:tblCellMar>
          <w:top w:w="28" w:type="dxa"/>
          <w:left w:w="28" w:type="dxa"/>
          <w:bottom w:w="28" w:type="dxa"/>
          <w:right w:w="28" w:type="dxa"/>
        </w:tblCellMar>
      </w:tblPr>
      <w:tblGrid>
        <w:gridCol w:w="4031"/>
        <w:gridCol w:w="146"/>
        <w:gridCol w:w="211"/>
        <w:gridCol w:w="586"/>
        <w:gridCol w:w="166"/>
        <w:gridCol w:w="146"/>
        <w:gridCol w:w="262"/>
        <w:gridCol w:w="758"/>
        <w:gridCol w:w="286"/>
        <w:gridCol w:w="146"/>
        <w:gridCol w:w="211"/>
        <w:gridCol w:w="421"/>
        <w:gridCol w:w="166"/>
        <w:gridCol w:w="146"/>
        <w:gridCol w:w="262"/>
        <w:gridCol w:w="758"/>
        <w:gridCol w:w="75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Off-Highway acquisition</w:t>
      </w:r>
    </w:p>
    <w:p>
      <w:pPr>
        <w:pStyle w:val="TextBody"/>
        <w:bidi w:val="0"/>
        <w:spacing w:before="120" w:after="283"/>
        <w:jc w:val="left"/>
        <w:rPr>
          <w:rFonts w:ascii="Arial" w:hAnsi="Arial"/>
          <w:color w:val="000000"/>
          <w:sz w:val="20"/>
        </w:rPr>
      </w:pPr>
      <w:r>
        <w:rPr>
          <w:rFonts w:ascii="Arial" w:hAnsi="Arial"/>
          <w:color w:val="000000"/>
          <w:sz w:val="20"/>
        </w:rPr>
        <w:t>On January 1, 2026, we completed the Acquisition. Our results of operations include all activity of the Acquired Off-Highway Business since the Closing Date within the Allison Off-Highway reportable segment.</w:t>
      </w:r>
    </w:p>
    <w:p>
      <w:pPr>
        <w:pStyle w:val="TextBody"/>
        <w:bidi w:val="0"/>
        <w:spacing w:before="120" w:after="283"/>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The Allison Off-Highway segment generated $706 million of net sales for the three months ended June 30, 2026.</w:t>
      </w:r>
    </w:p>
    <w:p>
      <w:pPr>
        <w:pStyle w:val="TextBody"/>
        <w:bidi w:val="0"/>
        <w:spacing w:before="120" w:after="283"/>
        <w:jc w:val="left"/>
        <w:rPr>
          <w:rFonts w:ascii="Arial" w:hAnsi="Arial"/>
          <w:color w:val="000000"/>
          <w:sz w:val="20"/>
        </w:rPr>
      </w:pPr>
      <w:r>
        <w:rPr>
          <w:rFonts w:ascii="Arial" w:hAnsi="Arial"/>
          <w:color w:val="000000"/>
          <w:sz w:val="20"/>
        </w:rPr>
        <w:t>The Allison Transmission segment generated $860 million of net sales for the three months ended June 30, 2026. Net sales increased $46 million, or 6%, for the three months ended June 30, 2026 compared to the three months ended June 30, 2025.</w:t>
      </w:r>
    </w:p>
    <w:p>
      <w:pPr>
        <w:pStyle w:val="TextBody"/>
        <w:bidi w:val="0"/>
        <w:spacing w:before="120" w:after="283"/>
        <w:jc w:val="left"/>
        <w:rPr>
          <w:rFonts w:ascii="Arial" w:hAnsi="Arial"/>
          <w:color w:val="000000"/>
          <w:sz w:val="20"/>
        </w:rPr>
      </w:pPr>
      <w:r>
        <w:rPr>
          <w:rFonts w:ascii="Arial" w:hAnsi="Arial"/>
          <w:color w:val="000000"/>
          <w:sz w:val="20"/>
        </w:rPr>
        <w:t>The increase was principally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Defense end market net sales increased $36 million, or 57%, principally driven by increased demand for Tracked vehicle applications, price increases on certain products and the continued execution of our growth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North America On-Highway end market net sales increased $13 million, or 3%, principally driven by price increases on certain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Off-Highway net sales increased $6 million, or 38%, principally driven by higher demand from the energy sector in North America.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increased $1 million, or 1%, principally driven by price increases on certain products.</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These increases were partially offset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decreased $10 million, or 7%, principally driven by lower demand in Asia.</w:t>
      </w:r>
    </w:p>
    <w:p>
      <w:pPr>
        <w:pStyle w:val="TextBody"/>
        <w:bidi w:val="0"/>
        <w:spacing w:before="18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Cost of sales for the three months ended June 30, 2026 was $1,051 million compared to $411 million for the three months ended June 30, 2025, an increase of 156%. $588 million of cost of goods sold was attributable to Allison Off-Highway, including $18 million of depreciation expense related to the stepped-up basis in property, plant and equipment. The remaining increase of $52 million was principally driven by unfavorable direct material costs, higher direct material expense commensurate with increased net sales and higher incentive compensation expense, all within Allison Transmission.</w:t>
      </w:r>
    </w:p>
    <w:p>
      <w:pPr>
        <w:pStyle w:val="TextBody"/>
        <w:bidi w:val="0"/>
        <w:spacing w:before="120" w:after="283"/>
        <w:jc w:val="left"/>
        <w:rPr>
          <w:rFonts w:ascii="Arial" w:hAnsi="Arial"/>
          <w:b/>
          <w:i/>
          <w:color w:val="000000"/>
          <w:sz w:val="20"/>
        </w:rPr>
      </w:pPr>
      <w:r>
        <w:rPr>
          <w:rFonts w:ascii="Arial" w:hAnsi="Arial"/>
          <w:b/>
          <w:i/>
          <w:color w:val="000000"/>
          <w:sz w:val="20"/>
        </w:rPr>
        <w:t>Gross profit</w:t>
      </w:r>
    </w:p>
    <w:p>
      <w:pPr>
        <w:pStyle w:val="TextBody"/>
        <w:bidi w:val="0"/>
        <w:spacing w:before="120" w:after="283"/>
        <w:jc w:val="left"/>
        <w:rPr>
          <w:rFonts w:ascii="Arial" w:hAnsi="Arial"/>
          <w:color w:val="000000"/>
          <w:sz w:val="20"/>
        </w:rPr>
      </w:pPr>
      <w:r>
        <w:rPr>
          <w:rFonts w:ascii="Arial" w:hAnsi="Arial"/>
          <w:color w:val="000000"/>
          <w:sz w:val="20"/>
        </w:rPr>
        <w:t>Gross profit for the three months ended June 30, 2026 was $515 million compared to $403 million for the three months ended June 30, 2025, an increase of 28%. $118 million of the increase in gross profit was attributable to Allison Off-Highway, while gross profit attributable to Allison Transmission decreased $6 million, principally driven by unfavorable direct material costs and higher incentive compensation expense, partially offset by $34 million from price increases on certain products. Gross profit as a percent of net sales for the three months ended June 30, 2026 decreased 16.6 percentage points compared to the same period in 2025 principally driven by the addition of Allison Off-Highway, the products of which have a lower average gross profit as a percent of net sales profile compared to Allison Transmission products.</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Selling, general and administrative expenses for the three months ended June 30, 2026 were $168 million compared to $104 million for the three months ended June 30, 2025, an increase of 62%. Selling, general and administrative expenses of $56 million were attributable to Allison Off-Highway, including $20 million of amortization expense for intangible assets recognized from the Acquisition. The remaining increase of $8 million was principally driven by increased commercial activities spending, partially offset by decreased expenses related to the Acquisition.</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Engineering expenses for the three months ended June 30, 2026 were $56 million compared to $43 million for the three months ended June 30, 2025, an increase of 30%. The increase was primarily due to engineering expenses of $15 million attributable to Allison Off-Highway.</w:t>
      </w:r>
    </w:p>
    <w:p>
      <w:pPr>
        <w:pStyle w:val="TextBody"/>
        <w:bidi w:val="0"/>
        <w:spacing w:before="120" w:after="283"/>
        <w:jc w:val="left"/>
        <w:rPr>
          <w:rFonts w:ascii="Arial" w:hAnsi="Arial"/>
          <w:b/>
          <w:i/>
          <w:color w:val="000000"/>
          <w:sz w:val="20"/>
        </w:rPr>
      </w:pPr>
      <w:r>
        <w:rPr>
          <w:rFonts w:ascii="Arial" w:hAnsi="Arial"/>
          <w:b/>
          <w:i/>
          <w:color w:val="000000"/>
          <w:sz w:val="20"/>
        </w:rPr>
        <w:t>Interest expense, net</w:t>
      </w:r>
    </w:p>
    <w:p>
      <w:pPr>
        <w:pStyle w:val="TextBody"/>
        <w:bidi w:val="0"/>
        <w:spacing w:before="120" w:after="283"/>
        <w:jc w:val="left"/>
        <w:rPr>
          <w:rFonts w:ascii="Arial" w:hAnsi="Arial"/>
          <w:color w:val="000000"/>
          <w:sz w:val="20"/>
        </w:rPr>
      </w:pPr>
      <w:r>
        <w:rPr>
          <w:rFonts w:ascii="Arial" w:hAnsi="Arial"/>
          <w:color w:val="000000"/>
          <w:sz w:val="20"/>
        </w:rPr>
        <w:t>Interest expense, net for the three months ended June 30, 2026 was $54 million compared to $22 million for the three months ended June 30, 2025, an increase of 145%. The increase was principally driven by $17 million of interest expense related to the Incremental Term Loan, $8 million of interest expense related to the 5.875% Senior Notes 2033 and $6 million of lower interest income.</w:t>
      </w:r>
    </w:p>
    <w:p>
      <w:pPr>
        <w:pStyle w:val="TextBody"/>
        <w:bidi w:val="0"/>
        <w:spacing w:before="120" w:after="283"/>
        <w:jc w:val="left"/>
        <w:rPr>
          <w:rFonts w:ascii="Arial" w:hAnsi="Arial"/>
          <w:b/>
          <w:i/>
          <w:color w:val="000000"/>
          <w:sz w:val="20"/>
        </w:rPr>
      </w:pPr>
      <w:r>
        <w:rPr>
          <w:rFonts w:ascii="Arial" w:hAnsi="Arial"/>
          <w:b/>
          <w:i/>
          <w:color w:val="000000"/>
          <w:sz w:val="20"/>
        </w:rPr>
        <w:t>Other (expense) income, net</w:t>
      </w:r>
    </w:p>
    <w:p>
      <w:pPr>
        <w:pStyle w:val="TextBody"/>
        <w:bidi w:val="0"/>
        <w:spacing w:before="120" w:after="283"/>
        <w:jc w:val="left"/>
        <w:rPr>
          <w:rFonts w:ascii="Arial" w:hAnsi="Arial"/>
          <w:color w:val="000000"/>
          <w:sz w:val="20"/>
        </w:rPr>
      </w:pPr>
      <w:r>
        <w:rPr>
          <w:rFonts w:ascii="Arial" w:hAnsi="Arial"/>
          <w:color w:val="000000"/>
          <w:sz w:val="20"/>
        </w:rPr>
        <w:t>Other (expense) income, net for the three months ended June 30, 2026 was other expense of ($9) million compared to other income of $8 million for the three months ended June 30, 2025. The change was principally driven by a $17 million change in unrealized mark-to-market adjustments for marketable securities.</w:t>
      </w:r>
    </w:p>
    <w:p>
      <w:pPr>
        <w:pStyle w:val="TextBody"/>
        <w:bidi w:val="0"/>
        <w:spacing w:before="120" w:after="283"/>
        <w:jc w:val="left"/>
        <w:rPr>
          <w:rFonts w:ascii="Arial" w:hAnsi="Arial"/>
          <w:b/>
          <w:i/>
          <w:color w:val="000000"/>
          <w:sz w:val="20"/>
        </w:rPr>
      </w:pPr>
      <w:r>
        <w:rPr>
          <w:rFonts w:ascii="Arial" w:hAnsi="Arial"/>
          <w:b/>
          <w:i/>
          <w:color w:val="000000"/>
          <w:sz w:val="20"/>
        </w:rPr>
        <w:t>Income tax expense</w:t>
      </w:r>
    </w:p>
    <w:p>
      <w:pPr>
        <w:pStyle w:val="TextBody"/>
        <w:bidi w:val="0"/>
        <w:spacing w:before="120" w:after="283"/>
        <w:jc w:val="left"/>
        <w:rPr>
          <w:rFonts w:ascii="Arial" w:hAnsi="Arial"/>
          <w:color w:val="000000"/>
          <w:sz w:val="20"/>
        </w:rPr>
      </w:pPr>
      <w:r>
        <w:rPr>
          <w:rFonts w:ascii="Arial" w:hAnsi="Arial"/>
          <w:color w:val="000000"/>
          <w:sz w:val="20"/>
        </w:rPr>
        <w:t>Income tax expense for the three months ended June 30, 2026 was $47 million, resulting in an effective tax rate of 21%, compared to $47 million of income tax expense and an effective tax rate of 19% for the three months ended June 30, 2025.</w:t>
      </w:r>
    </w:p>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Allison Consolidated Comparison of the six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six months ended June 30, 2026 and 2025. The following table and discussion should be read in conjunction with the information contained in our condensed consolidated financial statements and the notes thereto included in Part I, Item 1 of this Quarterly Report on Form 10-Q.</w:t>
      </w:r>
    </w:p>
    <w:p>
      <w:pPr>
        <w:pStyle w:val="TextBody"/>
        <w:bidi w:val="0"/>
        <w:jc w:val="left"/>
        <w:rPr/>
      </w:pPr>
      <w:r>
        <w:rPr/>
        <w:t> </w:t>
      </w:r>
    </w:p>
    <w:tbl>
      <w:tblPr>
        <w:tblW w:w="9618" w:type="dxa"/>
        <w:jc w:val="left"/>
        <w:tblInd w:w="0" w:type="dxa"/>
        <w:tblLayout w:type="fixed"/>
        <w:tblCellMar>
          <w:top w:w="28" w:type="dxa"/>
          <w:left w:w="28" w:type="dxa"/>
          <w:bottom w:w="28" w:type="dxa"/>
          <w:right w:w="28" w:type="dxa"/>
        </w:tblCellMar>
      </w:tblPr>
      <w:tblGrid>
        <w:gridCol w:w="4031"/>
        <w:gridCol w:w="146"/>
        <w:gridCol w:w="211"/>
        <w:gridCol w:w="586"/>
        <w:gridCol w:w="166"/>
        <w:gridCol w:w="146"/>
        <w:gridCol w:w="262"/>
        <w:gridCol w:w="758"/>
        <w:gridCol w:w="286"/>
        <w:gridCol w:w="146"/>
        <w:gridCol w:w="211"/>
        <w:gridCol w:w="586"/>
        <w:gridCol w:w="166"/>
        <w:gridCol w:w="146"/>
        <w:gridCol w:w="262"/>
        <w:gridCol w:w="758"/>
        <w:gridCol w:w="75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The Allison Off-Highway segment generated $1,379 million of net sales for the six months ended June 30, 2026.</w:t>
      </w:r>
    </w:p>
    <w:p>
      <w:pPr>
        <w:pStyle w:val="TextBody"/>
        <w:bidi w:val="0"/>
        <w:spacing w:before="120" w:after="283"/>
        <w:jc w:val="left"/>
        <w:rPr>
          <w:rFonts w:ascii="Arial" w:hAnsi="Arial"/>
          <w:color w:val="000000"/>
          <w:sz w:val="20"/>
        </w:rPr>
      </w:pPr>
      <w:r>
        <w:rPr>
          <w:rFonts w:ascii="Arial" w:hAnsi="Arial"/>
          <w:color w:val="000000"/>
          <w:sz w:val="20"/>
        </w:rPr>
        <w:t>The Allison Transmission segment generated $1,593 million of net sales for the six months ended June 30, 2026. Net sales increased $13 million, or 1%, for the six months ended June 30, 2026 compared to the six months ended June 30, 2025.</w:t>
      </w:r>
    </w:p>
    <w:p>
      <w:pPr>
        <w:pStyle w:val="TextBody"/>
        <w:bidi w:val="0"/>
        <w:spacing w:before="120" w:after="283"/>
        <w:jc w:val="left"/>
        <w:rPr>
          <w:rFonts w:ascii="Arial" w:hAnsi="Arial"/>
          <w:color w:val="000000"/>
          <w:sz w:val="20"/>
        </w:rPr>
      </w:pPr>
      <w:r>
        <w:rPr>
          <w:rFonts w:ascii="Arial" w:hAnsi="Arial"/>
          <w:color w:val="000000"/>
          <w:sz w:val="20"/>
        </w:rPr>
        <w:t>The increase was principally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Defense end market net sales increased $70 million, or 60%, principally driven by increased demand for Tracked vehicle applications, price increases on certain products and the continued execution of our growth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increased $6 million, or 2%, principally driven by price increases on certain products.</w:t>
      </w:r>
    </w:p>
    <w:p>
      <w:pPr>
        <w:pStyle w:val="TextBody"/>
        <w:bidi w:val="0"/>
        <w:spacing w:before="120" w:after="283"/>
        <w:jc w:val="left"/>
        <w:rPr>
          <w:rFonts w:ascii="Arial" w:hAnsi="Arial"/>
          <w:color w:val="000000"/>
          <w:sz w:val="20"/>
        </w:rPr>
      </w:pPr>
      <w:r>
        <w:rPr>
          <w:rFonts w:ascii="Arial" w:hAnsi="Arial"/>
          <w:color w:val="000000"/>
          <w:sz w:val="20"/>
        </w:rPr>
        <w:t>These increases were partially offset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North America On-Highway end market net sales decreased $47 million, or 6%, principally driven by lower demand for medium-duty trucks and class 8 vocational trucks, partially offset by price increases on certain products and increased demand for hybrid transit buses.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decreased $12 million, or 5%, principally driven by lower demand in Asia and South America, partially offset by price increases on certain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Off-Highway end market net sales decreased $4 million, or 12%, principally driven by lower demand from the energy, mining and construction sectors outside of North America, partially offset by increased demand from the energy sector in North America.</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Cost of sales for the six months ended June 30, 2026 was $2,051 million compared to $799 million for the six months ended June 30, 2025, an increase of 157%. $1,211 million of cost of goods sold was attributable to Allison Off-Highway, including purchase price accounting allocations of $63 million of expense related to the stepped-up basis in inventory and $31 million of depreciation expense related to the stepped-up basis in property, plant and equipment. The remaining $41 million increase was principally driven by unfavorable direct material costs, higher incentive compensation expense and higher direct material expense commensurate with increased net sales in Allison Transmission.</w:t>
      </w:r>
    </w:p>
    <w:p>
      <w:pPr>
        <w:pStyle w:val="TextBody"/>
        <w:bidi w:val="0"/>
        <w:spacing w:before="120" w:after="283"/>
        <w:jc w:val="left"/>
        <w:rPr>
          <w:rFonts w:ascii="Arial" w:hAnsi="Arial"/>
          <w:b/>
          <w:i/>
          <w:color w:val="000000"/>
          <w:sz w:val="20"/>
        </w:rPr>
      </w:pPr>
      <w:r>
        <w:rPr>
          <w:rFonts w:ascii="Arial" w:hAnsi="Arial"/>
          <w:b/>
          <w:i/>
          <w:color w:val="000000"/>
          <w:sz w:val="20"/>
        </w:rPr>
        <w:t>Gross profit</w:t>
      </w:r>
    </w:p>
    <w:p>
      <w:pPr>
        <w:pStyle w:val="TextBody"/>
        <w:bidi w:val="0"/>
        <w:spacing w:before="120" w:after="283"/>
        <w:jc w:val="left"/>
        <w:rPr>
          <w:rFonts w:ascii="Arial" w:hAnsi="Arial"/>
          <w:color w:val="000000"/>
          <w:sz w:val="20"/>
        </w:rPr>
      </w:pPr>
      <w:r>
        <w:rPr>
          <w:rFonts w:ascii="Arial" w:hAnsi="Arial"/>
          <w:color w:val="000000"/>
          <w:sz w:val="20"/>
        </w:rPr>
        <w:t>Gross profit for the six months ended June 30, 2026 was $921 million compared to $781 million for the six months ended June 30, 2025, an increase of 18%. $168 million of the increase in gross profit was attributable to Allison Off-Highway, while the gross profit attributable to Allison Transmission decreased $28 million, principally driven by unfavorable direct material costs and higher incentive compensation expense, partially offset by $57 million of price increases on certain products. Gross profit as a percent of net sales for the six months ended June 30, 2026 decreased 18.4 percentage points compared to the same period in 2025 principally driven by the addition of Allison Off-Highway, the products of which have a lower average gross profit as a percent of net sales profile compared to Allison Transmission products.</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Selling, general and administrative expenses were $325 million for the six months ended June 30, 2026 compared to $191 million for the six months ended June 30, 2025, an increase of 70%. Selling, general and administrative expenses of $112 million were attributable to Allison Off-Highway, including $41 million of amortization expense for intangible assets recognized from the Acquisition. The remaining increase of $22 million was principally driven by increased commercial activities spending and higher incentive compensation.</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Engineering expenses for the six months ended June 30, 2026 were $110 million compared to $85 million for the six months ended June 30, 2025, an increase of 29%. Engineering expenses of $30 million were attributable to Allison Off-Highway. The remaining decrease of $5 million was principally driven by reduced product initiatives spending in Allison Transmission.</w:t>
      </w:r>
    </w:p>
    <w:p>
      <w:pPr>
        <w:pStyle w:val="TextBody"/>
        <w:bidi w:val="0"/>
        <w:spacing w:before="120" w:after="283"/>
        <w:jc w:val="left"/>
        <w:rPr>
          <w:rFonts w:ascii="Arial" w:hAnsi="Arial"/>
          <w:b/>
          <w:i/>
          <w:color w:val="000000"/>
          <w:sz w:val="20"/>
        </w:rPr>
      </w:pPr>
      <w:r>
        <w:rPr>
          <w:rFonts w:ascii="Arial" w:hAnsi="Arial"/>
          <w:b/>
          <w:i/>
          <w:color w:val="000000"/>
          <w:sz w:val="20"/>
        </w:rPr>
        <w:t>Interest expense, net</w:t>
      </w:r>
    </w:p>
    <w:p>
      <w:pPr>
        <w:pStyle w:val="TextBody"/>
        <w:bidi w:val="0"/>
        <w:spacing w:before="120" w:after="283"/>
        <w:jc w:val="left"/>
        <w:rPr>
          <w:rFonts w:ascii="Arial" w:hAnsi="Arial"/>
          <w:color w:val="000000"/>
          <w:sz w:val="20"/>
        </w:rPr>
      </w:pPr>
      <w:r>
        <w:rPr>
          <w:rFonts w:ascii="Arial" w:hAnsi="Arial"/>
          <w:color w:val="000000"/>
          <w:sz w:val="20"/>
        </w:rPr>
        <w:t>Interest expense, net for the six months ended June 30, 2026 was $115 million compared to $43 million for the six months ended June 30, 2025, an increase of 167%. The increase was principally driven by $33 million of interest expense related to the Incremental Term Loan, $15 million of interest expense related to the 5.875% Senior Notes 2033, and $11 million of lower interest income.</w:t>
      </w:r>
    </w:p>
    <w:p>
      <w:pPr>
        <w:pStyle w:val="TextBody"/>
        <w:bidi w:val="0"/>
        <w:spacing w:before="120" w:after="283"/>
        <w:jc w:val="left"/>
        <w:rPr>
          <w:rFonts w:ascii="Arial" w:hAnsi="Arial"/>
          <w:b/>
          <w:i/>
          <w:color w:val="000000"/>
          <w:sz w:val="20"/>
        </w:rPr>
      </w:pPr>
      <w:r>
        <w:rPr>
          <w:rFonts w:ascii="Arial" w:hAnsi="Arial"/>
          <w:b/>
          <w:i/>
          <w:color w:val="000000"/>
          <w:sz w:val="20"/>
        </w:rPr>
        <w:t>Other (expense) income, net</w:t>
      </w:r>
    </w:p>
    <w:p>
      <w:pPr>
        <w:pStyle w:val="TextBody"/>
        <w:bidi w:val="0"/>
        <w:spacing w:before="120" w:after="283"/>
        <w:jc w:val="left"/>
        <w:rPr>
          <w:rFonts w:ascii="Arial" w:hAnsi="Arial"/>
          <w:color w:val="000000"/>
          <w:sz w:val="20"/>
        </w:rPr>
      </w:pPr>
      <w:r>
        <w:rPr>
          <w:rFonts w:ascii="Arial" w:hAnsi="Arial"/>
          <w:color w:val="000000"/>
          <w:sz w:val="20"/>
        </w:rPr>
        <w:t>Other (expense) income, net for the six months ended June 30, 2026 was other expense of ($11) million compared to other income of $13 million for the six months ended June 30, 2025. The change was principally driven by a $17 million change in unrealized mark-to-market adjustments for marketable securities and $8 million of unfavorable foreign exchange.</w:t>
      </w:r>
    </w:p>
    <w:p>
      <w:pPr>
        <w:pStyle w:val="TextBody"/>
        <w:bidi w:val="0"/>
        <w:spacing w:before="18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Income tax expense</w:t>
      </w:r>
    </w:p>
    <w:p>
      <w:pPr>
        <w:pStyle w:val="TextBody"/>
        <w:bidi w:val="0"/>
        <w:spacing w:before="120" w:after="283"/>
        <w:jc w:val="left"/>
        <w:rPr>
          <w:rFonts w:ascii="Arial" w:hAnsi="Arial"/>
          <w:color w:val="000000"/>
          <w:sz w:val="20"/>
        </w:rPr>
      </w:pPr>
      <w:r>
        <w:rPr>
          <w:rFonts w:ascii="Arial" w:hAnsi="Arial"/>
          <w:color w:val="000000"/>
          <w:sz w:val="20"/>
        </w:rPr>
        <w:t>Income tax expense for the six months ended June 30, 2026 was $67 million, resulting in an effective tax rate of 19%, compared to $88 million of income tax expense and an effective tax rate of 19% for the six months ended June 30, 2025. The decrease in income tax expense was principally driven by lower taxable income.</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Financial Measures</w:t>
      </w:r>
    </w:p>
    <w:p>
      <w:pPr>
        <w:pStyle w:val="TextBody"/>
        <w:bidi w:val="0"/>
        <w:spacing w:before="180" w:after="283"/>
        <w:jc w:val="left"/>
        <w:rPr>
          <w:rFonts w:ascii="Arial" w:hAnsi="Arial"/>
          <w:color w:val="000000"/>
          <w:sz w:val="20"/>
        </w:rPr>
      </w:pPr>
      <w:r>
        <w:rPr>
          <w:rFonts w:ascii="Arial" w:hAnsi="Arial"/>
          <w:color w:val="000000"/>
          <w:sz w:val="20"/>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measures to Adjusted EBITDA and Adjusted EBITDA as a percent of net sales are Net income and Net income as a percent of net sales, respectively. Adjusted EBITDA is calculated as earnings before interest expense, net, income tax expense, amortization of intangible assets, depreciation of property, plant and equipment and other adjustments as defined by the Credit Agreement governing ATI's term loan facility in the amount of $506 million due March 2031 (“Term Loan”), the Incremental Term Loan and the Revolving Credit Facility (together, the "Senior Secured Credit Facility"). Adjusted EBITDA as a percent of net sales is calculated as Adjusted EBITDA divided by net sales.</w:t>
      </w:r>
    </w:p>
    <w:p>
      <w:pPr>
        <w:pStyle w:val="TextBody"/>
        <w:bidi w:val="0"/>
        <w:spacing w:before="120" w:after="283"/>
        <w:jc w:val="left"/>
        <w:rPr>
          <w:rFonts w:ascii="Arial" w:hAnsi="Arial"/>
          <w:color w:val="000000"/>
          <w:sz w:val="20"/>
        </w:rPr>
      </w:pPr>
      <w:r>
        <w:rPr>
          <w:rFonts w:ascii="Arial" w:hAnsi="Arial"/>
          <w:color w:val="000000"/>
          <w:sz w:val="20"/>
        </w:rPr>
        <w:t>In addition, we believe Adjusted net income, Adjusted basic earnings per share attributable to common stockholders ("Adjusted basic EPS") and Adjusted diluted earnings per share attributable to common stockholders ("Adjusted diluted EPS") provide management, investors and creditors with useful measures of our core business performance and trends and increase the period-to-period comparability of our results of operations. The most directly comparable GAAP measures to Adjusted net income, Adjusted basic EPS and Adjusted diluted EPS are Net income, Basic earnings per share attributable to common stockholders ("Basic EPS") and Diluted earnings per share attributable to common stockholders ("Diluted EPS"),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the Acquisition, stepped-up basis in inventory related to the Acquisition, stock-based compensation expense, Acquisition-related expenses, impairment charges, other one-off adjustments and the tax effect of the adjustments. Adjusted basic EPS and Adjusted diluted EPS are calculated by dividing Adjusted net income by the weighted average shares of common stock outstanding and diluted weighted average shares of common stock outstanding, respectively.</w:t>
      </w:r>
    </w:p>
    <w:p>
      <w:pPr>
        <w:pStyle w:val="TextBody"/>
        <w:bidi w:val="0"/>
        <w:spacing w:before="120" w:after="283"/>
        <w:jc w:val="left"/>
        <w:rPr>
          <w:rFonts w:ascii="Arial" w:hAnsi="Arial"/>
          <w:color w:val="000000"/>
          <w:sz w:val="20"/>
        </w:rPr>
      </w:pPr>
      <w:r>
        <w:rPr>
          <w:rFonts w:ascii="Arial" w:hAnsi="Arial"/>
          <w:color w:val="000000"/>
          <w:sz w:val="20"/>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pStyle w:val="TextBody"/>
        <w:bidi w:val="0"/>
        <w:spacing w:before="18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is a reconciliation of Net income to Adjusted EBITDA, Net income as a percent of net sales to Adjusted EBITDA as a percent of net sales, and Net cash provided by operating activities to Adjusted free cash flow: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89"/>
        <w:gridCol w:w="146"/>
        <w:gridCol w:w="211"/>
        <w:gridCol w:w="586"/>
        <w:gridCol w:w="286"/>
        <w:gridCol w:w="146"/>
        <w:gridCol w:w="211"/>
        <w:gridCol w:w="481"/>
        <w:gridCol w:w="286"/>
        <w:gridCol w:w="146"/>
        <w:gridCol w:w="211"/>
        <w:gridCol w:w="586"/>
        <w:gridCol w:w="286"/>
        <w:gridCol w:w="146"/>
        <w:gridCol w:w="211"/>
        <w:gridCol w:w="586"/>
        <w:gridCol w:w="491"/>
      </w:tblGrid>
      <w:tr>
        <w:trPr/>
        <w:tc>
          <w:tcPr>
            <w:tcW w:w="5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Recognition of stepped-up basis in inventory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related to stepped-up basis in assets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Acquisition-related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(gain) on marketable securities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foreign exchange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associated with impairment of long-lived assets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as a percent of Net sales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as a percent of Net sales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cash provided by operating activities (GAAP)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 to reconcile to 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free cash flow (Non-GAAP)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Represents the recognition of the stepped-up basis in inventory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Represents depreciation of the stepped-up basis in property, plant and equipment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Represents expenses (recorded in Selling, general and administrative), primarily consulting and legal fees, related to the Acquisition.</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Represents stock-based compensation expense (recorded in Selling, general and administrative).</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spacing w:before="0" w:after="0"/>
        <w:jc w:val="left"/>
        <w:rPr>
          <w:rFonts w:ascii="Arial" w:hAnsi="Arial"/>
          <w:color w:val="000000"/>
          <w:sz w:val="20"/>
        </w:rPr>
      </w:pPr>
      <w:r>
        <w:rPr>
          <w:rFonts w:ascii="Arial" w:hAnsi="Arial"/>
          <w:color w:val="000000"/>
          <w:sz w:val="20"/>
        </w:rPr>
        <w:t>Represents unrealized losses (gains) (recorded in Other (expense) income, net) related to an investment in the common stock of Jing-Jin Electric Technologies Co. Ltd.</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spacing w:before="0" w:after="0"/>
        <w:jc w:val="left"/>
        <w:rPr>
          <w:rFonts w:ascii="Arial" w:hAnsi="Arial"/>
          <w:color w:val="000000"/>
          <w:sz w:val="20"/>
        </w:rPr>
      </w:pPr>
      <w:r>
        <w:rPr>
          <w:rFonts w:ascii="Arial" w:hAnsi="Arial"/>
          <w:color w:val="000000"/>
          <w:sz w:val="20"/>
        </w:rPr>
        <w:t>Represents losses (recorded in Other (expense) income, net) on intercompany financing transactions for our facility in Chennai, India.</w:t>
      </w:r>
    </w:p>
    <w:p>
      <w:pPr>
        <w:pStyle w:val="TextBody"/>
        <w:bidi w:val="0"/>
        <w:spacing w:before="0" w:after="0"/>
        <w:jc w:val="left"/>
        <w:rPr>
          <w:rFonts w:ascii="Arial" w:hAnsi="Arial"/>
          <w:color w:val="000000"/>
          <w:sz w:val="20"/>
        </w:rPr>
      </w:pPr>
      <w:r>
        <w:rPr>
          <w:rFonts w:ascii="Arial" w:hAnsi="Arial"/>
          <w:color w:val="000000"/>
          <w:sz w:val="20"/>
        </w:rPr>
        <w:t>(g)</w:t>
      </w:r>
    </w:p>
    <w:p>
      <w:pPr>
        <w:pStyle w:val="TextBody"/>
        <w:bidi w:val="0"/>
        <w:spacing w:before="0" w:after="0"/>
        <w:jc w:val="left"/>
        <w:rPr>
          <w:rFonts w:ascii="Arial" w:hAnsi="Arial"/>
          <w:color w:val="000000"/>
          <w:sz w:val="20"/>
        </w:rPr>
      </w:pPr>
      <w:r>
        <w:rPr>
          <w:rFonts w:ascii="Arial" w:hAnsi="Arial"/>
          <w:color w:val="000000"/>
          <w:sz w:val="20"/>
        </w:rPr>
        <w:t>Represents a charge associated with the impairment of long-lived assets related to the production of certain electrified products.</w:t>
      </w:r>
    </w:p>
    <w:p>
      <w:pPr>
        <w:pStyle w:val="TextBody"/>
        <w:bidi w:val="0"/>
        <w:spacing w:before="0" w:after="0"/>
        <w:jc w:val="left"/>
        <w:rPr>
          <w:rFonts w:ascii="Arial" w:hAnsi="Arial"/>
          <w:color w:val="000000"/>
          <w:sz w:val="20"/>
        </w:rPr>
      </w:pPr>
      <w:r>
        <w:rPr>
          <w:rFonts w:ascii="Arial" w:hAnsi="Arial"/>
          <w:color w:val="000000"/>
          <w:sz w:val="20"/>
        </w:rPr>
        <w:t>(h)</w:t>
      </w:r>
    </w:p>
    <w:p>
      <w:pPr>
        <w:pStyle w:val="TextBody"/>
        <w:bidi w:val="0"/>
        <w:spacing w:before="0" w:after="0"/>
        <w:jc w:val="left"/>
        <w:rPr>
          <w:rFonts w:ascii="Arial" w:hAnsi="Arial"/>
          <w:color w:val="000000"/>
          <w:sz w:val="20"/>
        </w:rPr>
      </w:pPr>
      <w:r>
        <w:rPr>
          <w:rFonts w:ascii="Arial" w:hAnsi="Arial"/>
          <w:color w:val="000000"/>
          <w:sz w:val="20"/>
        </w:rPr>
        <w:t xml:space="preserve">Represents other adjustments as defined by the Credit Agreement. </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jc w:val="left"/>
        <w:rPr>
          <w:rFonts w:ascii="Arial" w:hAnsi="Arial"/>
          <w:color w:val="000000"/>
          <w:sz w:val="20"/>
        </w:rPr>
      </w:pPr>
      <w:r>
        <w:rPr>
          <w:rFonts w:ascii="Arial" w:hAnsi="Arial"/>
          <w:color w:val="000000"/>
          <w:sz w:val="20"/>
        </w:rPr>
        <w:t>Net cash provided by operating activities (GAAP) and Adjusted free cash flow (Non-GAAP) included $12 million and $14 million for the three months ended June 30, 2026 and 2025, respectively, and $41 million and $17 million for the six months ended June 30, 2026 and 2025, respectively, of payments for expenses related to the Acquisition.</w:t>
      </w:r>
    </w:p>
    <w:p>
      <w:pPr>
        <w:pStyle w:val="TextBody"/>
        <w:bidi w:val="0"/>
        <w:spacing w:before="18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is a reconciliation of Net income to Adjusted net income, Basic EPS to Adjusted Basic EPS and Diluted EPS to Adjusted Diluted EPS: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36"/>
        <w:gridCol w:w="146"/>
        <w:gridCol w:w="216"/>
        <w:gridCol w:w="494"/>
        <w:gridCol w:w="170"/>
        <w:gridCol w:w="150"/>
        <w:gridCol w:w="216"/>
        <w:gridCol w:w="494"/>
        <w:gridCol w:w="166"/>
        <w:gridCol w:w="146"/>
        <w:gridCol w:w="211"/>
        <w:gridCol w:w="481"/>
        <w:gridCol w:w="166"/>
        <w:gridCol w:w="146"/>
        <w:gridCol w:w="211"/>
        <w:gridCol w:w="481"/>
        <w:gridCol w:w="475"/>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Recognition of the stepped-up basis in inventory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the stepped-up basis in property, plant and equipment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Acquisition-related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associated with impairment of long-lived assets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effect on adjustments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Net Income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EPS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EPS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Basic EPS (Non-GAAP)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Diluted EPS (Non-GAAP)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Represents the recognition of the stepped-up basis in inventory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Represents depreciation of the stepped-up basis in property, plant and equipment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Represents expenses (recorded in Selling, general and administrative), primarily consulting and legal fees, related to the Acquisition.</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Represents stock-based compensation expense (recorded in Selling, general and administrative).</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spacing w:before="0" w:after="0"/>
        <w:jc w:val="left"/>
        <w:rPr>
          <w:rFonts w:ascii="Arial" w:hAnsi="Arial"/>
          <w:color w:val="000000"/>
          <w:sz w:val="20"/>
        </w:rPr>
      </w:pPr>
      <w:r>
        <w:rPr>
          <w:rFonts w:ascii="Arial" w:hAnsi="Arial"/>
          <w:color w:val="000000"/>
          <w:sz w:val="20"/>
        </w:rPr>
        <w:t>Represents a charge associated with the impairment of long-lived assets related to the production of certain electrified products.</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spacing w:before="0" w:after="0"/>
        <w:jc w:val="left"/>
        <w:rPr>
          <w:rFonts w:ascii="Arial" w:hAnsi="Arial"/>
          <w:color w:val="000000"/>
          <w:sz w:val="20"/>
        </w:rPr>
      </w:pPr>
      <w:r>
        <w:rPr>
          <w:rFonts w:ascii="Arial" w:hAnsi="Arial"/>
          <w:color w:val="000000"/>
          <w:sz w:val="20"/>
        </w:rPr>
        <w:t>Represents the income tax effect on the adjustments calculated by applying our effective tax rate.</w:t>
      </w:r>
    </w:p>
    <w:p>
      <w:pPr>
        <w:pStyle w:val="TextBody"/>
        <w:bidi w:val="0"/>
        <w:spacing w:before="0" w:after="0"/>
        <w:jc w:val="left"/>
        <w:rPr>
          <w:rFonts w:ascii="Arial" w:hAnsi="Arial"/>
          <w:color w:val="000000"/>
          <w:sz w:val="20"/>
        </w:rPr>
      </w:pPr>
      <w:r>
        <w:rPr>
          <w:rFonts w:ascii="Arial" w:hAnsi="Arial"/>
          <w:color w:val="000000"/>
          <w:sz w:val="20"/>
        </w:rPr>
        <w:t>(g)</w:t>
      </w:r>
    </w:p>
    <w:p>
      <w:pPr>
        <w:pStyle w:val="TextBody"/>
        <w:bidi w:val="0"/>
        <w:jc w:val="left"/>
        <w:rPr>
          <w:rFonts w:ascii="Arial" w:hAnsi="Arial"/>
          <w:color w:val="000000"/>
          <w:sz w:val="20"/>
        </w:rPr>
      </w:pPr>
      <w:r>
        <w:rPr>
          <w:rFonts w:ascii="Arial" w:hAnsi="Arial"/>
          <w:color w:val="000000"/>
          <w:sz w:val="20"/>
        </w:rPr>
        <w:t>Adjusted basic EPS and Adjusted diluted EPS are Non</w:t>
        <w:noBreakHyphen/>
        <w:t>GAAP financial measures and are defined as Adjusted net income divided by the weighted average common shares outstanding and diluted weighted average shares outstanding, respectively, for the period. The weighted-average common shares outstanding and diluted weighted-average common shares outstanding are the same as those used in calculating the comparable GAAP measures.</w:t>
      </w:r>
    </w:p>
    <w:p>
      <w:pPr>
        <w:pStyle w:val="TextBody"/>
        <w:bidi w:val="0"/>
        <w:spacing w:before="18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Segment Results</w:t>
      </w:r>
    </w:p>
    <w:p>
      <w:pPr>
        <w:pStyle w:val="TextBody"/>
        <w:bidi w:val="0"/>
        <w:spacing w:before="120" w:after="283"/>
        <w:jc w:val="left"/>
        <w:rPr>
          <w:rFonts w:ascii="Arial" w:hAnsi="Arial"/>
          <w:b/>
          <w:i/>
          <w:color w:val="000000"/>
          <w:sz w:val="20"/>
        </w:rPr>
      </w:pPr>
      <w:r>
        <w:rPr>
          <w:rFonts w:ascii="Arial" w:hAnsi="Arial"/>
          <w:b/>
          <w:i/>
          <w:color w:val="000000"/>
          <w:sz w:val="20"/>
        </w:rPr>
        <w:t>Allison Transmission - Comparison of the three and six months ended June 30, 2026 and 2025</w:t>
      </w:r>
    </w:p>
    <w:p>
      <w:pPr>
        <w:pStyle w:val="TextBody"/>
        <w:bidi w:val="0"/>
        <w:spacing w:before="120" w:after="283"/>
        <w:jc w:val="left"/>
        <w:rPr>
          <w:rFonts w:ascii="Arial" w:hAnsi="Arial"/>
          <w:color w:val="000000"/>
          <w:sz w:val="20"/>
        </w:rPr>
      </w:pPr>
      <w:r>
        <w:rPr>
          <w:rFonts w:ascii="Arial" w:hAnsi="Arial"/>
          <w:color w:val="000000"/>
          <w:sz w:val="20"/>
        </w:rPr>
        <w:t>The following tables set forth certain financial information for the three and six months ended June 30, 2026 and 2025 and should be read in conjunction with the information contained in our condensed consolidated financial statements and the notes thereto included in Part I, Item 1 of this Quarterly Report on Form 10-Q.</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2551"/>
        <w:gridCol w:w="146"/>
        <w:gridCol w:w="229"/>
        <w:gridCol w:w="457"/>
        <w:gridCol w:w="158"/>
        <w:gridCol w:w="158"/>
        <w:gridCol w:w="229"/>
        <w:gridCol w:w="457"/>
        <w:gridCol w:w="158"/>
        <w:gridCol w:w="158"/>
        <w:gridCol w:w="341"/>
        <w:gridCol w:w="634"/>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860</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6241" w:type="dxa"/>
        <w:jc w:val="left"/>
        <w:tblInd w:w="0" w:type="dxa"/>
        <w:tblLayout w:type="fixed"/>
        <w:tblCellMar>
          <w:top w:w="28" w:type="dxa"/>
          <w:left w:w="28" w:type="dxa"/>
          <w:bottom w:w="28" w:type="dxa"/>
          <w:right w:w="28" w:type="dxa"/>
        </w:tblCellMar>
      </w:tblPr>
      <w:tblGrid>
        <w:gridCol w:w="2551"/>
        <w:gridCol w:w="146"/>
        <w:gridCol w:w="211"/>
        <w:gridCol w:w="586"/>
        <w:gridCol w:w="146"/>
        <w:gridCol w:w="146"/>
        <w:gridCol w:w="211"/>
        <w:gridCol w:w="586"/>
        <w:gridCol w:w="146"/>
        <w:gridCol w:w="146"/>
        <w:gridCol w:w="341"/>
        <w:gridCol w:w="634"/>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Segment Net Sales</w:t>
      </w:r>
    </w:p>
    <w:tbl>
      <w:tblPr>
        <w:tblW w:w="7974" w:type="dxa"/>
        <w:jc w:val="left"/>
        <w:tblInd w:w="0" w:type="dxa"/>
        <w:tblLayout w:type="fixed"/>
        <w:tblCellMar>
          <w:top w:w="28" w:type="dxa"/>
          <w:left w:w="28" w:type="dxa"/>
          <w:bottom w:w="28" w:type="dxa"/>
          <w:right w:w="28" w:type="dxa"/>
        </w:tblCellMar>
      </w:tblPr>
      <w:tblGrid>
        <w:gridCol w:w="4006"/>
        <w:gridCol w:w="146"/>
        <w:gridCol w:w="280"/>
        <w:gridCol w:w="560"/>
        <w:gridCol w:w="194"/>
        <w:gridCol w:w="194"/>
        <w:gridCol w:w="280"/>
        <w:gridCol w:w="560"/>
        <w:gridCol w:w="194"/>
        <w:gridCol w:w="194"/>
        <w:gridCol w:w="307"/>
        <w:gridCol w:w="668"/>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Outside 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Off-Highway</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94"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94"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Support Equipment and Other</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177</w:t>
            </w:r>
          </w:p>
        </w:tc>
        <w:tc>
          <w:tcPr>
            <w:tcW w:w="194"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94"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pPr>
      <w:r>
        <w:rPr/>
        <w:t> </w:t>
      </w:r>
    </w:p>
    <w:tbl>
      <w:tblPr>
        <w:tblW w:w="7824" w:type="dxa"/>
        <w:jc w:val="left"/>
        <w:tblInd w:w="0" w:type="dxa"/>
        <w:tblLayout w:type="fixed"/>
        <w:tblCellMar>
          <w:top w:w="28" w:type="dxa"/>
          <w:left w:w="28" w:type="dxa"/>
          <w:bottom w:w="28" w:type="dxa"/>
          <w:right w:w="28" w:type="dxa"/>
        </w:tblCellMar>
      </w:tblPr>
      <w:tblGrid>
        <w:gridCol w:w="4006"/>
        <w:gridCol w:w="146"/>
        <w:gridCol w:w="223"/>
        <w:gridCol w:w="622"/>
        <w:gridCol w:w="154"/>
        <w:gridCol w:w="154"/>
        <w:gridCol w:w="223"/>
        <w:gridCol w:w="622"/>
        <w:gridCol w:w="154"/>
        <w:gridCol w:w="154"/>
        <w:gridCol w:w="272"/>
        <w:gridCol w:w="703"/>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Outside 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Off-Highway</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Support Equipment and Other</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1,593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20"/>
        </w:rPr>
      </w:pPr>
      <w:r>
        <w:rPr>
          <w:rFonts w:ascii="Arial" w:hAnsi="Arial"/>
          <w:color w:val="000000"/>
          <w:sz w:val="20"/>
        </w:rPr>
        <w:t>For a discussion of the year-over-year changes in Net sales in each end market, see “Results of Operations – Allison Consolidated Comparison of the three months ended June 30, 2026 and 2025 – Net sales” and “Results of Operations – Allison Consolidated Comparison of the six months ended June 30, 2026 and 2025 – Net sales” above.</w:t>
      </w:r>
    </w:p>
    <w:p>
      <w:pPr>
        <w:pStyle w:val="TextBody"/>
        <w:bidi w:val="0"/>
        <w:spacing w:before="120" w:after="283"/>
        <w:jc w:val="left"/>
        <w:rPr>
          <w:rFonts w:ascii="Arial" w:hAnsi="Arial"/>
          <w:b/>
          <w:i/>
          <w:color w:val="000000"/>
          <w:sz w:val="20"/>
        </w:rPr>
      </w:pPr>
      <w:r>
        <w:rPr>
          <w:rFonts w:ascii="Arial" w:hAnsi="Arial"/>
          <w:b/>
          <w:i/>
          <w:color w:val="000000"/>
          <w:sz w:val="20"/>
        </w:rPr>
        <w:t>Segment Operating Profit</w:t>
      </w:r>
    </w:p>
    <w:p>
      <w:pPr>
        <w:pStyle w:val="TextBody"/>
        <w:bidi w:val="0"/>
        <w:spacing w:before="120" w:after="283"/>
        <w:jc w:val="left"/>
        <w:rPr>
          <w:rFonts w:ascii="Arial" w:hAnsi="Arial"/>
          <w:color w:val="000000"/>
          <w:sz w:val="20"/>
        </w:rPr>
      </w:pPr>
      <w:r>
        <w:rPr>
          <w:rFonts w:ascii="Arial" w:hAnsi="Arial"/>
          <w:color w:val="000000"/>
          <w:sz w:val="20"/>
        </w:rPr>
        <w:t>Segment Operating Profit for the three months ended June 30, 2026 and 2025 was $281 million and $288 million, respectively, a decrease of 2%. For the six months ended June 30, 2026 and 2025 Segment Operating Profit was $533 million and $559 million, respectively, a decrease of 5%. The decreases were principally driven by lower gross profit, as described in “Results of Operations – Allison Consolidated Comparison of the three months ended June 30, 2026 – Gross profit” and “Results of Operations – Allison Consolidated Comparison of the six months ended June 30, 2026 – Gross profit” above.</w:t>
      </w:r>
    </w:p>
    <w:p>
      <w:pPr>
        <w:pStyle w:val="TextBody"/>
        <w:bidi w:val="0"/>
        <w:spacing w:before="18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Allison Off-Highway - Operating results for the three and six months ended June 30, 2026</w:t>
      </w:r>
    </w:p>
    <w:p>
      <w:pPr>
        <w:pStyle w:val="TextBody"/>
        <w:bidi w:val="0"/>
        <w:spacing w:before="120" w:after="120"/>
        <w:jc w:val="left"/>
        <w:rPr>
          <w:rFonts w:ascii="Arial" w:hAnsi="Arial"/>
          <w:color w:val="000000"/>
          <w:sz w:val="20"/>
        </w:rPr>
      </w:pPr>
      <w:r>
        <w:rPr>
          <w:rFonts w:ascii="Arial" w:hAnsi="Arial"/>
          <w:color w:val="000000"/>
          <w:sz w:val="20"/>
        </w:rPr>
        <w:t>The Allison Off-Highway reportable segment is comprised solely of the Acquired Off-Highway Business. The following table sets forth certain financial information for the three and six months ended June 30, 2026 and should be read in conjunction with the information contained in our condensed consolidated financial statements and the notes thereto included in Part I, Item 1 of this Quarterly Report on Form 10-Q.</w:t>
      </w:r>
    </w:p>
    <w:tbl>
      <w:tblPr>
        <w:tblW w:w="7950" w:type="dxa"/>
        <w:jc w:val="left"/>
        <w:tblInd w:w="0" w:type="dxa"/>
        <w:tblLayout w:type="fixed"/>
        <w:tblCellMar>
          <w:top w:w="28" w:type="dxa"/>
          <w:left w:w="28" w:type="dxa"/>
          <w:bottom w:w="28" w:type="dxa"/>
          <w:right w:w="28" w:type="dxa"/>
        </w:tblCellMar>
      </w:tblPr>
      <w:tblGrid>
        <w:gridCol w:w="2611"/>
        <w:gridCol w:w="146"/>
        <w:gridCol w:w="819"/>
        <w:gridCol w:w="1641"/>
        <w:gridCol w:w="146"/>
        <w:gridCol w:w="146"/>
        <w:gridCol w:w="595"/>
        <w:gridCol w:w="1655"/>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Sales</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41"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706</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55"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1,379</w:t>
            </w:r>
          </w:p>
        </w:tc>
        <w:tc>
          <w:tcPr>
            <w:tcW w:w="191"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Includes expenses related to the recognition of the stepped-up basis in inventory, depreciation related to the stepped-up basis in property, plant and equipment and intangibles amortization related to the Acquisition.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Segment Net Sales</w:t>
      </w:r>
    </w:p>
    <w:p>
      <w:pPr>
        <w:pStyle w:val="TextBody"/>
        <w:bidi w:val="0"/>
        <w:jc w:val="left"/>
        <w:rPr/>
      </w:pPr>
      <w:r>
        <w:rPr/>
        <w:t> </w:t>
      </w:r>
    </w:p>
    <w:tbl>
      <w:tblPr>
        <w:tblW w:w="8310" w:type="dxa"/>
        <w:jc w:val="left"/>
        <w:tblInd w:w="0" w:type="dxa"/>
        <w:tblLayout w:type="fixed"/>
        <w:tblCellMar>
          <w:top w:w="28" w:type="dxa"/>
          <w:left w:w="28" w:type="dxa"/>
          <w:bottom w:w="28" w:type="dxa"/>
          <w:right w:w="28" w:type="dxa"/>
        </w:tblCellMar>
      </w:tblPr>
      <w:tblGrid>
        <w:gridCol w:w="2971"/>
        <w:gridCol w:w="146"/>
        <w:gridCol w:w="819"/>
        <w:gridCol w:w="1641"/>
        <w:gridCol w:w="146"/>
        <w:gridCol w:w="146"/>
        <w:gridCol w:w="595"/>
        <w:gridCol w:w="1655"/>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&amp; Material Handling</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41"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249</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55"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476</w:t>
            </w:r>
          </w:p>
        </w:tc>
        <w:tc>
          <w:tcPr>
            <w:tcW w:w="191"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Agriculture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Industrial</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9F2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w:t>
            </w:r>
          </w:p>
        </w:tc>
        <w:tc>
          <w:tcPr>
            <w:tcW w:w="191"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9F2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Specialty &amp; Other</w:t>
            </w:r>
          </w:p>
        </w:tc>
        <w:tc>
          <w:tcPr>
            <w:tcW w:w="146" w:type="dxa"/>
            <w:tcBorders/>
            <w:shd w:fill="C9F2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1641"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46"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c>
          <w:tcPr>
            <w:tcW w:w="1655"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304</w:t>
            </w:r>
          </w:p>
        </w:tc>
        <w:tc>
          <w:tcPr>
            <w:tcW w:w="191" w:type="dxa"/>
            <w:tcBorders>
              <w:bottom w:val="single" w:sz="4" w:space="0" w:color="000000"/>
            </w:tcBorders>
            <w:shd w:fill="C9F2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color w:val="000000"/>
          <w:sz w:val="20"/>
        </w:rPr>
      </w:pPr>
      <w:r>
        <w:rPr>
          <w:rFonts w:ascii="Arial" w:hAnsi="Arial"/>
          <w:color w:val="000000"/>
          <w:sz w:val="20"/>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$399 million and $1,495 million as of June 30, 2026 and December 31, 2025, respectively. Of the available cash and cash equivalents, $368 million was deposited in operating accounts and $31 million was primarily invested in U.S. government backed securities and time deposits as of June 30, 2026, compared to $1,361 million deposited in operating accounts and $134 million invested primarily in U.S. government backed securities and time deposits as of December 31, 2025.</w:t>
      </w:r>
    </w:p>
    <w:p>
      <w:pPr>
        <w:pStyle w:val="TextBody"/>
        <w:bidi w:val="0"/>
        <w:spacing w:before="120" w:after="283"/>
        <w:jc w:val="left"/>
        <w:rPr>
          <w:rFonts w:ascii="Arial" w:hAnsi="Arial"/>
          <w:color w:val="000000"/>
          <w:sz w:val="20"/>
        </w:rPr>
      </w:pPr>
      <w:r>
        <w:rPr>
          <w:rFonts w:ascii="Arial" w:hAnsi="Arial"/>
          <w:color w:val="000000"/>
          <w:sz w:val="20"/>
        </w:rPr>
        <w:t>As of June 30, 2026, the total of cash held by foreign subsidiaries was $331 million, the majority of which was at our subsidiaries located in China, Switzerland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pStyle w:val="TextBody"/>
        <w:bidi w:val="0"/>
        <w:spacing w:before="180" w:after="283"/>
        <w:jc w:val="left"/>
        <w:rPr>
          <w:rFonts w:ascii="Arial" w:hAnsi="Arial"/>
          <w:color w:val="000000"/>
          <w:sz w:val="20"/>
        </w:rPr>
      </w:pPr>
      <w:r>
        <w:rPr>
          <w:rFonts w:ascii="Arial" w:hAnsi="Arial"/>
          <w:color w:val="000000"/>
          <w:sz w:val="20"/>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pStyle w:val="TextBody"/>
        <w:bidi w:val="0"/>
        <w:spacing w:before="180" w:after="283"/>
        <w:jc w:val="left"/>
        <w:rPr>
          <w:rFonts w:ascii="Arial" w:hAnsi="Arial"/>
          <w:color w:val="000000"/>
          <w:sz w:val="20"/>
        </w:rPr>
      </w:pPr>
      <w:r>
        <w:rPr>
          <w:rFonts w:ascii="Arial" w:hAnsi="Arial"/>
          <w:color w:val="000000"/>
          <w:sz w:val="20"/>
        </w:rPr>
        <w:t>Our liquidity requirements are significant, primarily due to our debt service requirements. In January 2026, we and ATI entered into Amendment No. 5 to the Credit Agreement to increase the commitments under the existing Revolving Credit Facility from $750 million to $1,000 million and provide for the Incremental Term Loan in an aggregate principal amount equal to $1,200 million, which matures on January 2, 2033 with a springing maturity to the maturity date of the Term Loan in the event the Term Loan matures on any date prior to January 2, 2033. In June 2026, we and ATI entered into Amendment No. 6 to the Credit Agreement to lower the applicable margin on the Term Loan by 0.25%. As of June 30, 2026, we had $506 million of indebtedness associated with ATI’s Term Loan, $1,197 million of indebtedness associated with ATI's Incremental Term Loan, $400 million of indebtedness associated with ATI’s 4.75% Senior Notes due October 2027 (“4.75% Senior Notes”), $500 million of indebtedness associated with ATI’s 5.875% Senior Notes due June 2029 (“5.875% Senior Notes 2029”), $1,000 million of indebtedness associated with ATI’s 3.75% Senior Notes due January 2031 (“3.75% Senior Notes”) and $500 million of indebtedness associated with ATI's 5.875% Senior Notes 2033 (together with the 4.75% Senior Notes, 5.875% Senior Notes 2029 and 3.75% Senior Notes, the “Senior Notes”). Our short-term and long-term debt service liquidity requirements consist of $1 million of minimum required quarterly principal payments on ATI’s Term Loan through its maturity date of March 2031, $3 million of minimum required quarterly principal payments on ATI's Incremental Term Loan through its maturity date of January 2033 and periodic interest payments on ATI’s Term Loan, Incremental Term Loan, Revolving Credit Facility and the Senior Notes. There are no required quarterly principal payments on the Senior Notes. Our long-term debt service liquidity requirements also consist of the payment in full of any remaining principal balance of ATI’s Term Loan, Incremental Term Loan and Senior Notes and any borrowings under the Revolving Credit Facility upon their respective maturity dates.</w:t>
      </w:r>
    </w:p>
    <w:p>
      <w:pPr>
        <w:pStyle w:val="TextBody"/>
        <w:bidi w:val="0"/>
        <w:spacing w:before="180" w:after="283"/>
        <w:jc w:val="left"/>
        <w:rPr>
          <w:rFonts w:ascii="Times New Roman" w:hAnsi="Times New Roman"/>
          <w:sz w:val="20"/>
        </w:rPr>
      </w:pPr>
      <w:r>
        <w:rPr>
          <w:rFonts w:ascii="Arial" w:hAnsi="Arial"/>
          <w:color w:val="000000"/>
          <w:sz w:val="20"/>
        </w:rPr>
        <w:t>We made $6 million of principal payments on the Term Loan and Incremental Term Loan during the six months ended June 30, 2026 and $2 million of principal payments on the Term Loan during the six months ended June 30, 2025. Our ability to make payments on and refinance our indebtedness and to fund planned capital expenditures and growth initiatives will depend on our ability to generate cash in the future.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Senior Secured Credit Facility provides for a $1,000 million Revolving Credit Facility, net of an allowance for up to $75 million in outstanding letter of credit commitments. During the six months ended June 30, 2026, the Company withdrew $300 million to partially fund the Acquisition and fully repaid the outstanding balance on the Revolving Credit Facility. The maximum amount outstanding at any time during the six months ended June 30, 2026 was $300 million. As of June 30, 2026, we had $995 million available under the Revolving Credit Facility, net of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June 30, 2026, our first lien net leverage ratio was 1.01x.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2026, we were in compliance with all covenants under the Senior Secured Credit Facility and indentures governing the Senior Notes.</w:t>
      </w:r>
    </w:p>
    <w:p>
      <w:pPr>
        <w:pStyle w:val="TextBody"/>
        <w:bidi w:val="0"/>
        <w:spacing w:before="180" w:after="283"/>
        <w:jc w:val="left"/>
        <w:rPr>
          <w:rFonts w:ascii="Arial" w:hAnsi="Arial"/>
          <w:color w:val="000000"/>
          <w:sz w:val="20"/>
        </w:rPr>
      </w:pPr>
      <w:r>
        <w:rPr>
          <w:rFonts w:ascii="Arial" w:hAnsi="Arial"/>
          <w:color w:val="000000"/>
          <w:sz w:val="20"/>
        </w:rPr>
        <w:t>Our credit ratings and outlook are reviewed periodically by Moody’s Ratings (“Moody’s”) and Fitch Ratings, Inc. (“Fitch”). As of June 30, 2026, our credit ratings from both Moody's and Fitch are shown in the table below:</w:t>
      </w:r>
    </w:p>
    <w:p>
      <w:pPr>
        <w:pStyle w:val="TextBody"/>
        <w:bidi w:val="0"/>
        <w:spacing w:before="180" w:after="283"/>
        <w:jc w:val="left"/>
        <w:rPr/>
      </w:pPr>
      <w:r>
        <w:rPr/>
        <w:t> </w:t>
      </w:r>
    </w:p>
    <w:tbl>
      <w:tblPr>
        <w:tblW w:w="4735" w:type="dxa"/>
        <w:jc w:val="left"/>
        <w:tblInd w:w="0" w:type="dxa"/>
        <w:tblLayout w:type="fixed"/>
        <w:tblCellMar>
          <w:top w:w="28" w:type="dxa"/>
          <w:left w:w="28" w:type="dxa"/>
          <w:bottom w:w="28" w:type="dxa"/>
          <w:right w:w="28" w:type="dxa"/>
        </w:tblCellMar>
      </w:tblPr>
      <w:tblGrid>
        <w:gridCol w:w="3046"/>
        <w:gridCol w:w="146"/>
        <w:gridCol w:w="781"/>
        <w:gridCol w:w="146"/>
        <w:gridCol w:w="6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Credit Ratings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Moody's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Fitch</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 Loan,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4.75%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3.75%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Incremental Term Loan, due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BBB-</w:t>
            </w:r>
          </w:p>
        </w:tc>
      </w:tr>
    </w:tbl>
    <w:p>
      <w:pPr>
        <w:pStyle w:val="TextBody"/>
        <w:bidi w:val="0"/>
        <w:spacing w:before="180" w:after="283"/>
        <w:jc w:val="left"/>
        <w:rPr>
          <w:rFonts w:ascii="Arial" w:hAnsi="Arial"/>
          <w:color w:val="000000"/>
          <w:sz w:val="20"/>
        </w:rPr>
      </w:pPr>
      <w:r>
        <w:rPr>
          <w:rFonts w:ascii="Arial" w:hAnsi="Arial"/>
          <w:color w:val="000000"/>
          <w:sz w:val="20"/>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six months ended June 30, 2026, we repurchased $67 million of our common stock under the Repurchase Program. Substantially all of the repurchase transactions during the six months ended June 30, 2026 were settled in cash during the same period. As of June 30, 2026, we had approximately $1,125 million available under the Repurchase Program.</w:t>
      </w:r>
    </w:p>
    <w:p>
      <w:pPr>
        <w:pStyle w:val="TextBody"/>
        <w:bidi w:val="0"/>
        <w:spacing w:before="18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table shows our sources and uses of funds for the six months ended June 30, 2026 and 2025 (dollars in millions):</w:t>
      </w:r>
    </w:p>
    <w:p>
      <w:pPr>
        <w:pStyle w:val="TextBody"/>
        <w:bidi w:val="0"/>
        <w:jc w:val="left"/>
        <w:rPr/>
      </w:pPr>
      <w:r>
        <w:rPr/>
        <w:t> </w:t>
      </w:r>
    </w:p>
    <w:tbl>
      <w:tblPr>
        <w:tblW w:w="6929" w:type="dxa"/>
        <w:jc w:val="left"/>
        <w:tblInd w:w="0" w:type="dxa"/>
        <w:tblLayout w:type="fixed"/>
        <w:tblCellMar>
          <w:top w:w="28" w:type="dxa"/>
          <w:left w:w="28" w:type="dxa"/>
          <w:bottom w:w="28" w:type="dxa"/>
          <w:right w:w="28" w:type="dxa"/>
        </w:tblCellMar>
      </w:tblPr>
      <w:tblGrid>
        <w:gridCol w:w="4711"/>
        <w:gridCol w:w="146"/>
        <w:gridCol w:w="211"/>
        <w:gridCol w:w="646"/>
        <w:gridCol w:w="166"/>
        <w:gridCol w:w="146"/>
        <w:gridCol w:w="211"/>
        <w:gridCol w:w="48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Statements of Cash Flows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Generally, cash provided by operating activities has been adequate to fund our operations. We have significant liquidity, including $399 million of cash and cash equivalents and $995 million available under the Revolving Credit Facility, net of $5 million of letters of credit, as of June 30, 2026. At this time, we believe cash provided by operating activities, cash and cash equivalents and borrowing capacity under the Revolving Credit Facility will be sufficient to meet our known and anticipated cash requirements for the next twelve months and thereafter.</w:t>
      </w:r>
    </w:p>
    <w:p>
      <w:pPr>
        <w:pStyle w:val="TextBody"/>
        <w:bidi w:val="0"/>
        <w:spacing w:before="120" w:after="283"/>
        <w:jc w:val="left"/>
        <w:rPr>
          <w:rFonts w:ascii="Arial" w:hAnsi="Arial"/>
          <w:b/>
          <w:i/>
          <w:color w:val="000000"/>
          <w:sz w:val="20"/>
        </w:rPr>
      </w:pPr>
      <w:r>
        <w:rPr>
          <w:rFonts w:ascii="Arial" w:hAnsi="Arial"/>
          <w:b/>
          <w:i/>
          <w:color w:val="000000"/>
          <w:sz w:val="20"/>
        </w:rPr>
        <w:t>Cash provided by operating activities</w:t>
      </w:r>
    </w:p>
    <w:p>
      <w:pPr>
        <w:pStyle w:val="TextBody"/>
        <w:bidi w:val="0"/>
        <w:spacing w:before="120" w:after="283"/>
        <w:jc w:val="left"/>
        <w:rPr>
          <w:rFonts w:ascii="Arial" w:hAnsi="Arial"/>
          <w:color w:val="000000"/>
          <w:sz w:val="20"/>
        </w:rPr>
      </w:pPr>
      <w:r>
        <w:rPr>
          <w:rFonts w:ascii="Arial" w:hAnsi="Arial"/>
          <w:color w:val="000000"/>
          <w:sz w:val="20"/>
        </w:rPr>
        <w:t>Operating activities for the six months ended June 30, 2026 generated $468 million of cash compared to $365 million for the six months ended June 30, 2025. The increase was principally driven by higher gross profit, lower cash incentive compensation payments and lower working capital funding requirements, partially offset by higher cash interest expense and increased payments for expenses related to the Acquisition.</w:t>
      </w:r>
    </w:p>
    <w:p>
      <w:pPr>
        <w:pStyle w:val="TextBody"/>
        <w:bidi w:val="0"/>
        <w:spacing w:before="120" w:after="283"/>
        <w:jc w:val="left"/>
        <w:rPr>
          <w:rFonts w:ascii="Arial" w:hAnsi="Arial"/>
          <w:b/>
          <w:i/>
          <w:color w:val="000000"/>
          <w:sz w:val="20"/>
        </w:rPr>
      </w:pPr>
      <w:r>
        <w:rPr>
          <w:rFonts w:ascii="Arial" w:hAnsi="Arial"/>
          <w:b/>
          <w:i/>
          <w:color w:val="000000"/>
          <w:sz w:val="20"/>
        </w:rPr>
        <w:t>Cash used for investing activities</w:t>
      </w:r>
    </w:p>
    <w:p>
      <w:pPr>
        <w:pStyle w:val="TextBody"/>
        <w:bidi w:val="0"/>
        <w:spacing w:before="120" w:after="283"/>
        <w:jc w:val="left"/>
        <w:rPr>
          <w:rFonts w:ascii="Arial" w:hAnsi="Arial"/>
          <w:color w:val="000000"/>
          <w:sz w:val="20"/>
        </w:rPr>
      </w:pPr>
      <w:r>
        <w:rPr>
          <w:rFonts w:ascii="Arial" w:hAnsi="Arial"/>
          <w:color w:val="000000"/>
          <w:sz w:val="20"/>
        </w:rPr>
        <w:t>Investing activities for the six months ended June 30, 2026 used $2,616 million of cash compared to $59 million for the six months ended June 30, 2025. The increase was principally driven by the Acquisition and increased capital expenditures.</w:t>
      </w:r>
    </w:p>
    <w:p>
      <w:pPr>
        <w:pStyle w:val="TextBody"/>
        <w:bidi w:val="0"/>
        <w:spacing w:before="120" w:after="283"/>
        <w:jc w:val="left"/>
        <w:rPr>
          <w:rFonts w:ascii="Arial" w:hAnsi="Arial"/>
          <w:b/>
          <w:i/>
          <w:color w:val="000000"/>
          <w:sz w:val="20"/>
        </w:rPr>
      </w:pPr>
      <w:r>
        <w:rPr>
          <w:rFonts w:ascii="Arial" w:hAnsi="Arial"/>
          <w:b/>
          <w:i/>
          <w:color w:val="000000"/>
          <w:sz w:val="20"/>
        </w:rPr>
        <w:t>Cash provided by (used for) financing activities</w:t>
      </w:r>
    </w:p>
    <w:p>
      <w:pPr>
        <w:pStyle w:val="TextBody"/>
        <w:bidi w:val="0"/>
        <w:spacing w:before="120" w:after="283"/>
        <w:jc w:val="left"/>
        <w:rPr>
          <w:rFonts w:ascii="Arial" w:hAnsi="Arial"/>
          <w:color w:val="000000"/>
          <w:sz w:val="20"/>
        </w:rPr>
      </w:pPr>
      <w:r>
        <w:rPr>
          <w:rFonts w:ascii="Arial" w:hAnsi="Arial"/>
          <w:color w:val="000000"/>
          <w:sz w:val="20"/>
        </w:rPr>
        <w:t>Financing activities for the six months ended June 30, 2026 provided $1,056 million of cash compared to using ($316) million for the six months ended June 30, 2025. The change was principally driven by $1,200 million of proceeds from the Incremental Term Loan and $189 million of lower stock repurchases under the Repurchase Program.</w:t>
      </w:r>
    </w:p>
    <w:p>
      <w:pPr>
        <w:pStyle w:val="TextBody"/>
        <w:bidi w:val="0"/>
        <w:spacing w:before="240" w:after="283"/>
        <w:jc w:val="left"/>
        <w:rPr>
          <w:rFonts w:ascii="Arial" w:hAnsi="Arial"/>
          <w:b/>
          <w:color w:val="000000"/>
          <w:sz w:val="20"/>
        </w:rPr>
      </w:pPr>
      <w:r>
        <w:rPr>
          <w:rFonts w:ascii="Arial" w:hAnsi="Arial"/>
          <w:b/>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Q. Commitments and Contingencies” of our condensed consolidated financial statements included in Part I, Item 1 of this Quarterly Report on Form 10-Q.</w:t>
      </w:r>
    </w:p>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jc w:val="left"/>
        <w:rPr>
          <w:rFonts w:ascii="Times New Roman" w:hAnsi="Times New Roman"/>
          <w:sz w:val="20"/>
        </w:rPr>
      </w:pPr>
      <w:r>
        <w:rPr>
          <w:rFonts w:ascii="Arial" w:hAnsi="Arial"/>
          <w:color w:val="000000"/>
          <w:sz w:val="20"/>
        </w:rPr>
        <w:t>A discussion of our critical accounting estimates is included in Part II, Item 7, “Management’s Discussion and Analysis of Financial Condition and Results of Operations” in our Annual Report on Form 10-K for the year ended December 31, 2025 as filed with the SEC on February 24, 2026.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giving rise to such changes occur. Within the context of these critical accounting estimates, we are not currently aware of any reasonably likely events or circumstances that would result in different estimates being reported for the three and six months ended June 30, 2026.</w:t>
      </w:r>
    </w:p>
    <w:p>
      <w:pPr>
        <w:pStyle w:val="TextBody"/>
        <w:bidi w:val="0"/>
        <w:spacing w:before="240" w:after="283"/>
        <w:jc w:val="left"/>
        <w:rPr>
          <w:rFonts w:ascii="Arial" w:hAnsi="Arial"/>
          <w:b/>
          <w:color w:val="000000"/>
          <w:sz w:val="20"/>
        </w:rPr>
      </w:pPr>
      <w:r>
        <w:rPr>
          <w:rFonts w:ascii="Arial" w:hAnsi="Arial"/>
          <w:b/>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See "Note C. Summary of Significant Accounting Policies” in Part I, Item 1, of this Quarterly Report on Form 10-Q.</w:t>
      </w:r>
    </w:p>
    <w:p>
      <w:pPr>
        <w:pStyle w:val="TextBody"/>
        <w:bidi w:val="0"/>
        <w:spacing w:before="180" w:after="283"/>
        <w:jc w:val="left"/>
        <w:rPr>
          <w:rFonts w:ascii="Arial" w:hAnsi="Arial"/>
          <w:b/>
          <w:color w:val="000000"/>
          <w:sz w:val="20"/>
        </w:rPr>
      </w:pPr>
      <w:r>
        <w:rPr>
          <w:rFonts w:ascii="Arial" w:hAnsi="Arial"/>
          <w:b/>
          <w:color w:val="000000"/>
          <w:sz w:val="20"/>
        </w:rPr>
        <w:t>Cautionary Note Regarding Forward-Looking Statements</w:t>
      </w:r>
    </w:p>
    <w:p>
      <w:pPr>
        <w:pStyle w:val="TextBody"/>
        <w:bidi w:val="0"/>
        <w:spacing w:before="120" w:after="283"/>
        <w:jc w:val="left"/>
        <w:rPr>
          <w:rFonts w:ascii="Arial" w:hAnsi="Arial"/>
          <w:color w:val="000000"/>
          <w:sz w:val="20"/>
        </w:rPr>
      </w:pPr>
      <w:r>
        <w:rPr>
          <w:rFonts w:ascii="Arial" w:hAnsi="Arial"/>
          <w:color w:val="000000"/>
          <w:sz w:val="20"/>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Acquired Off-Highway Business; our ability to successfully integrate the Acquired Off-Highway Business and its operations in the expected time frame; our ability to realize all of the anticipated benefits from the integration of the Acquired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pStyle w:val="TextBody"/>
        <w:bidi w:val="0"/>
        <w:spacing w:before="120" w:after="283"/>
        <w:jc w:val="left"/>
        <w:rPr>
          <w:rFonts w:ascii="Arial" w:hAnsi="Arial"/>
          <w:color w:val="000000"/>
          <w:sz w:val="20"/>
        </w:rPr>
      </w:pPr>
      <w:bookmarkStart w:id="13" w:name="end_of_mda"/>
      <w:bookmarkEnd w:id="13"/>
      <w:r>
        <w:rPr>
          <w:rFonts w:ascii="Arial" w:hAnsi="Arial"/>
          <w:color w:val="000000"/>
          <w:sz w:val="20"/>
        </w:rPr>
        <w:t>Important factors that could cause actual results to differ materially from our expectations are disclosed in Part I, Item 1A of our Annual Report on Form 10-K for the year ended December 31, 2025 as filed with the SEC on February 24, 2026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pStyle w:val="TextBody"/>
        <w:bidi w:val="0"/>
        <w:spacing w:before="18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826"/>
        <w:gridCol w:w="5626"/>
      </w:tblGrid>
      <w:tr>
        <w:trPr/>
        <w:tc>
          <w:tcPr>
            <w:tcW w:w="82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4" w:name="quantitativeandqualitativedisclosures"/>
            <w:bookmarkEnd w:id="14"/>
            <w:r>
              <w:rPr>
                <w:rFonts w:ascii="Arial" w:hAnsi="Arial"/>
                <w:b/>
                <w:color w:val="000000"/>
                <w:sz w:val="20"/>
              </w:rPr>
              <w:t xml:space="preserve">Quantitative and Qualitative </w:t>
            </w:r>
            <w:bookmarkStart w:id="15" w:name="quantitative_qualitative_disclosures_abo"/>
            <w:bookmarkEnd w:id="15"/>
            <w:r>
              <w:rPr>
                <w:rFonts w:ascii="Arial" w:hAnsi="Arial"/>
                <w:b/>
                <w:color w:val="000000"/>
                <w:sz w:val="20"/>
              </w:rPr>
              <w:t>Disclosures About Market Risk</w:t>
            </w:r>
          </w:p>
        </w:tc>
      </w:tr>
    </w:tbl>
    <w:p>
      <w:pPr>
        <w:pStyle w:val="TextBody"/>
        <w:bidi w:val="0"/>
        <w:spacing w:before="120" w:after="283"/>
        <w:jc w:val="left"/>
        <w:rPr>
          <w:rFonts w:ascii="Arial" w:hAnsi="Arial"/>
          <w:color w:val="000000"/>
          <w:sz w:val="20"/>
        </w:rPr>
      </w:pPr>
      <w:r>
        <w:rPr>
          <w:rFonts w:ascii="Arial" w:hAnsi="Arial"/>
          <w:color w:val="000000"/>
          <w:sz w:val="20"/>
        </w:rPr>
        <w:t>Our exposure to market risk consists of changes in interest rates, foreign currency rate fluctuations and movements in commodity prices.</w:t>
      </w:r>
    </w:p>
    <w:p>
      <w:pPr>
        <w:pStyle w:val="TextBody"/>
        <w:bidi w:val="0"/>
        <w:spacing w:before="120" w:after="283"/>
        <w:jc w:val="left"/>
        <w:rPr>
          <w:rFonts w:ascii="Arial" w:hAnsi="Arial"/>
          <w:b/>
          <w:i/>
          <w:color w:val="000000"/>
          <w:sz w:val="20"/>
        </w:rPr>
      </w:pPr>
      <w:r>
        <w:rPr>
          <w:rFonts w:ascii="Arial" w:hAnsi="Arial"/>
          <w:b/>
          <w:i/>
          <w:color w:val="000000"/>
          <w:sz w:val="20"/>
        </w:rPr>
        <w:t>Interest Rate Risk</w:t>
      </w:r>
    </w:p>
    <w:p>
      <w:pPr>
        <w:pStyle w:val="TextBody"/>
        <w:bidi w:val="0"/>
        <w:spacing w:before="120" w:after="283"/>
        <w:jc w:val="left"/>
        <w:rPr>
          <w:rFonts w:ascii="Times New Roman" w:hAnsi="Times New Roman"/>
          <w:sz w:val="20"/>
        </w:rPr>
      </w:pPr>
      <w:r>
        <w:rPr>
          <w:rFonts w:ascii="Arial" w:hAnsi="Arial"/>
          <w:color w:val="000000"/>
          <w:sz w:val="20"/>
        </w:rPr>
        <w:t>Our principal interest rate exposure relates to outstanding amounts under our Senior Secured Credit Facility. Our Senior Secured Credit Facility provides for variable rate borrowings of up to $2,698 million, including our $506 million Term Loan, $1,197 million Incremental Term Loan and $995 million available under our Revolving Credit Facility, net of $5 million of letters of credit. A one-eighth percent increase or decrease in assumed interest rates for the Senior Secured Credit Facility, if fully drawn as of June 30, 2026, would have an impact of approximately $3 million on interest expense per year.</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Exchange Rate Risk</w:t>
      </w:r>
    </w:p>
    <w:p>
      <w:pPr>
        <w:pStyle w:val="TextBody"/>
        <w:bidi w:val="0"/>
        <w:spacing w:before="120" w:after="283"/>
        <w:jc w:val="left"/>
        <w:rPr>
          <w:rFonts w:ascii="Times New Roman" w:hAnsi="Times New Roman"/>
          <w:sz w:val="20"/>
        </w:rPr>
      </w:pPr>
      <w:r>
        <w:rPr>
          <w:rFonts w:ascii="Arial" w:hAnsi="Arial"/>
          <w:color w:val="000000"/>
          <w:sz w:val="20"/>
        </w:rPr>
        <w:t>We conduct business in various locations throughout the world and transact in numerous foreign currencies. As a result, we are exposed to volatility in our results of operations related to movements in foreign currency exchange rates. The U.S. dollar is our reporting currency, but the functional currencies of our foreign subsidiaries are primarily the local currency in the country of domicile or the currency in which the subsidiary conducts its operations. To help manage these transaction and translation exposures to exchange rate changes, we have entered into cross-currency swap contracts that, in the aggregate, effectively hedge $1,000 million of the euro exposure associated with our net investment in our euro-functional subsidiaries. We intend to expand our use of derivative financial instruments, including foreign currency forward contracts, to further hedge this exposure. As appropriate, we will designate these derivative financial instruments as hedges that qualify for hedge accounting.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Commodity Price Risk</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are subject to changes in our cost of sales caused by movements in underlying commodity prices. As of June 30, 2026, approximately 64% of our cost of sales consisted of purchased components. A substantial portion of the purchased parts are made of aluminum, steel and iron. The cost of aluminum parts includes an adjustment factor on future purchases for fluctuations in aluminum prices based on accepted industry indices. In addition, a substantial amount of iron- and steel-based contracts also include an index-based component. As our costs change, we are able to pass through a portion of the changes in commodity prices to certain of our customers according to our LTAs. We historically have not entered into long-term purchase contracts related to the purchase of aluminum, steel or iron.</w:t>
      </w:r>
    </w:p>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tbl>
      <w:tblPr>
        <w:tblW w:w="3287" w:type="dxa"/>
        <w:jc w:val="left"/>
        <w:tblInd w:w="0" w:type="dxa"/>
        <w:tblLayout w:type="fixed"/>
        <w:tblCellMar>
          <w:top w:w="28" w:type="dxa"/>
          <w:left w:w="28" w:type="dxa"/>
          <w:bottom w:w="28" w:type="dxa"/>
          <w:right w:w="28" w:type="dxa"/>
        </w:tblCellMar>
      </w:tblPr>
      <w:tblGrid>
        <w:gridCol w:w="826"/>
        <w:gridCol w:w="2461"/>
      </w:tblGrid>
      <w:tr>
        <w:trPr/>
        <w:tc>
          <w:tcPr>
            <w:tcW w:w="82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6" w:name="controlsandprocedures"/>
            <w:bookmarkEnd w:id="16"/>
            <w:r>
              <w:rPr>
                <w:rFonts w:ascii="Arial" w:hAnsi="Arial"/>
                <w:b/>
                <w:color w:val="000000"/>
                <w:sz w:val="20"/>
              </w:rPr>
              <w:t>Controls and</w:t>
            </w:r>
            <w:bookmarkStart w:id="17" w:name="controls_procedures"/>
            <w:bookmarkEnd w:id="17"/>
            <w:r>
              <w:rPr>
                <w:rFonts w:ascii="Times New Roman" w:hAnsi="Times New Roman"/>
                <w:color w:val="000000"/>
                <w:sz w:val="20"/>
              </w:rPr>
              <w:t> </w:t>
            </w:r>
            <w:r>
              <w:rPr>
                <w:rFonts w:ascii="Arial" w:hAnsi="Arial"/>
                <w:b/>
                <w:color w:val="000000"/>
                <w:sz w:val="20"/>
              </w:rPr>
              <w:t>Procedures</w:t>
            </w:r>
          </w:p>
        </w:tc>
      </w:tr>
    </w:tbl>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As permitted by SEC guidance for newly acquired businesses, the evaluation did not include an assessment of those disclosure controls and procedures that are subsumed by, and did not include an assessment of internal control over financial reporting as it relates to, Allison Off-Highway, which was acquired on January 1, 2026.</w:t>
      </w:r>
    </w:p>
    <w:p>
      <w:pPr>
        <w:pStyle w:val="TextBody"/>
        <w:bidi w:val="0"/>
        <w:spacing w:before="120" w:after="283"/>
        <w:jc w:val="left"/>
        <w:rPr>
          <w:rFonts w:ascii="Arial" w:hAnsi="Arial"/>
          <w:color w:val="000000"/>
          <w:sz w:val="20"/>
        </w:rPr>
      </w:pPr>
      <w:r>
        <w:rPr>
          <w:rFonts w:ascii="Arial" w:hAnsi="Arial"/>
          <w:color w:val="000000"/>
          <w:sz w:val="20"/>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Except as set forth below, 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On January 1, 2026, we completed the Acquisition. As part of our ongoing integration of the Acquired Off-Highway Business, we are continuing to incorporate our controls and procedures and to augment our company-wide controls to reflect the risks inherent in an acquisition of this type. As permitted by the SEC guidance for newly acquired businesses, our report on our internal control over financial reporting in our Annual Report on Form 10-K for the year ending December 31, 2026, will include a scope exception that excludes Allison Off-Highway in order for management to have sufficient time to evaluate and implement our internal control structure over the operations of the business.</w:t>
      </w:r>
    </w:p>
    <w:p>
      <w:pPr>
        <w:pStyle w:val="TextBody"/>
        <w:bidi w:val="0"/>
        <w:spacing w:before="18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 w:hAnsi="Times New Roman"/>
                <w:sz w:val="20"/>
              </w:rPr>
            </w:pPr>
            <w:bookmarkStart w:id="18" w:name="part_ii_or_information"/>
            <w:bookmarkEnd w:id="18"/>
            <w:r>
              <w:rPr>
                <w:rFonts w:ascii="Arial" w:hAnsi="Arial"/>
                <w:b/>
                <w:color w:val="000000"/>
                <w:sz w:val="20"/>
              </w:rPr>
              <w:t>PART II. OTHER</w:t>
            </w:r>
            <w:r>
              <w:rPr>
                <w:rFonts w:ascii="Times New Roman" w:hAnsi="Times New Roman"/>
                <w:color w:val="000000"/>
                <w:sz w:val="20"/>
              </w:rPr>
              <w:t> </w:t>
            </w:r>
            <w:r>
              <w:rPr>
                <w:rFonts w:ascii="Arial" w:hAnsi="Arial"/>
                <w:b/>
                <w:color w:val="000000"/>
                <w:sz w:val="20"/>
              </w:rPr>
              <w:t>INFORMATION</w:t>
            </w:r>
          </w:p>
        </w:tc>
      </w:tr>
    </w:tbl>
    <w:p>
      <w:pPr>
        <w:pStyle w:val="TextBody"/>
        <w:bidi w:val="0"/>
        <w:spacing w:before="240" w:after="283"/>
        <w:jc w:val="left"/>
        <w:rPr>
          <w:rFonts w:ascii="Times New Roman" w:hAnsi="Times New Roman"/>
          <w:sz w:val="20"/>
        </w:rPr>
      </w:pPr>
      <w:bookmarkStart w:id="19" w:name="item_1_legal_proceedings"/>
      <w:bookmarkEnd w:id="19"/>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p>
    <w:p>
      <w:pPr>
        <w:pStyle w:val="TextBody"/>
        <w:bidi w:val="0"/>
        <w:spacing w:before="120" w:after="283"/>
        <w:jc w:val="left"/>
        <w:rPr>
          <w:rFonts w:ascii="Arial" w:hAnsi="Arial"/>
          <w:color w:val="000000"/>
          <w:sz w:val="20"/>
        </w:rPr>
      </w:pPr>
      <w:r>
        <w:rPr>
          <w:rFonts w:ascii="Arial" w:hAnsi="Arial"/>
          <w:color w:val="000000"/>
          <w:sz w:val="20"/>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Q. Commitments and Contingencies” in the notes to the condensed consolidated financial statements included in Part I, Item 1 of this Quarterly Report on Form 10-Q, which information is incorporated herein by reference.</w:t>
      </w:r>
    </w:p>
    <w:p>
      <w:pPr>
        <w:pStyle w:val="TextBody"/>
        <w:bidi w:val="0"/>
        <w:spacing w:before="240" w:after="283"/>
        <w:jc w:val="left"/>
        <w:rPr>
          <w:rFonts w:ascii="Arial" w:hAnsi="Arial"/>
          <w:b/>
          <w:color w:val="000000"/>
          <w:sz w:val="20"/>
        </w:rPr>
      </w:pPr>
      <w:bookmarkStart w:id="20" w:name="item_1a_risk_factors"/>
      <w:bookmarkEnd w:id="20"/>
      <w:r>
        <w:rPr>
          <w:rFonts w:ascii="Arial" w:hAnsi="Arial"/>
          <w:b/>
          <w:color w:val="000000"/>
          <w:sz w:val="20"/>
        </w:rPr>
        <w:t>Item 1A. Risk Factors</w:t>
      </w:r>
    </w:p>
    <w:p>
      <w:pPr>
        <w:pStyle w:val="TextBody"/>
        <w:bidi w:val="0"/>
        <w:spacing w:before="120" w:after="283"/>
        <w:jc w:val="left"/>
        <w:rPr>
          <w:rFonts w:ascii="Times New Roman" w:hAnsi="Times New Roman"/>
          <w:sz w:val="20"/>
        </w:rPr>
      </w:pPr>
      <w:r>
        <w:rPr>
          <w:rFonts w:ascii="Arial" w:hAnsi="Arial"/>
          <w:color w:val="000000"/>
          <w:sz w:val="20"/>
        </w:rPr>
        <w:t>There have been no material changes from our risk factors as previously reported in Part I, Item 1A of our Annual Report on Form 10-K for the year ended December 31, 2025 as filed with the SEC on February 24, 2026.</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21" w:name="item_2_unregistered_sales_equity_securit"/>
      <w:bookmarkEnd w:id="21"/>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our repurchases of our common stock on a monthly basis during the three months ended June 30, 2026:</w:t>
      </w:r>
    </w:p>
    <w:p>
      <w:pPr>
        <w:pStyle w:val="TextBody"/>
        <w:bidi w:val="0"/>
        <w:jc w:val="left"/>
        <w:rPr/>
      </w:pPr>
      <w:r>
        <w:rPr/>
        <w:t> </w:t>
      </w:r>
    </w:p>
    <w:tbl>
      <w:tblPr>
        <w:tblW w:w="9521" w:type="dxa"/>
        <w:jc w:val="left"/>
        <w:tblInd w:w="0" w:type="dxa"/>
        <w:tblLayout w:type="fixed"/>
        <w:tblCellMar>
          <w:top w:w="28" w:type="dxa"/>
          <w:left w:w="28" w:type="dxa"/>
          <w:bottom w:w="28" w:type="dxa"/>
          <w:right w:w="28" w:type="dxa"/>
        </w:tblCellMar>
      </w:tblPr>
      <w:tblGrid>
        <w:gridCol w:w="2161"/>
        <w:gridCol w:w="146"/>
        <w:gridCol w:w="183"/>
        <w:gridCol w:w="1002"/>
        <w:gridCol w:w="146"/>
        <w:gridCol w:w="146"/>
        <w:gridCol w:w="211"/>
        <w:gridCol w:w="691"/>
        <w:gridCol w:w="146"/>
        <w:gridCol w:w="146"/>
        <w:gridCol w:w="183"/>
        <w:gridCol w:w="1002"/>
        <w:gridCol w:w="146"/>
        <w:gridCol w:w="146"/>
        <w:gridCol w:w="354"/>
        <w:gridCol w:w="2241"/>
        <w:gridCol w:w="47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w:t>
              <w:br/>
              <w:t>Dollar Value of</w:t>
              <w:br/>
              <w:t>Shares that May</w:t>
              <w:br/>
              <w:t>Yet Be Purchased</w:t>
              <w:br/>
              <w:t>Under the Plans or Programs(1)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1,155,451,248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1,140,452,963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1,124,704,600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pStyle w:val="TextBody"/>
        <w:bidi w:val="0"/>
        <w:spacing w:before="18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bookmarkStart w:id="22" w:name="item_5_other_info"/>
      <w:bookmarkEnd w:id="22"/>
      <w:r>
        <w:rPr>
          <w:rFonts w:ascii="Arial" w:hAnsi="Arial"/>
          <w:b/>
          <w:color w:val="000000"/>
          <w:sz w:val="20"/>
        </w:rPr>
        <w:t>Item 5. Other Information</w:t>
      </w:r>
    </w:p>
    <w:p>
      <w:pPr>
        <w:pStyle w:val="TextBody"/>
        <w:bidi w:val="0"/>
        <w:spacing w:before="120" w:after="283"/>
        <w:jc w:val="left"/>
        <w:rPr>
          <w:rFonts w:ascii="Arial" w:hAnsi="Arial"/>
          <w:b/>
          <w:color w:val="000000"/>
          <w:sz w:val="20"/>
        </w:rPr>
      </w:pPr>
      <w:r>
        <w:rPr>
          <w:rFonts w:ascii="Arial" w:hAnsi="Arial"/>
          <w:b/>
          <w:color w:val="000000"/>
          <w:sz w:val="20"/>
        </w:rPr>
        <w:t>Insider Trading Arrangements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0"/>
        <w:gridCol w:w="146"/>
        <w:gridCol w:w="1922"/>
        <w:gridCol w:w="146"/>
        <w:gridCol w:w="1081"/>
        <w:gridCol w:w="290"/>
        <w:gridCol w:w="635"/>
        <w:gridCol w:w="146"/>
        <w:gridCol w:w="725"/>
        <w:gridCol w:w="146"/>
        <w:gridCol w:w="1085"/>
        <w:gridCol w:w="146"/>
        <w:gridCol w:w="226"/>
        <w:gridCol w:w="909"/>
        <w:gridCol w:w="146"/>
        <w:gridCol w:w="146"/>
        <w:gridCol w:w="1100"/>
      </w:tblGrid>
      <w:tr>
        <w:trPr/>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Action</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r>
      <w:tr>
        <w:trPr/>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C. Scroggins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Legal Officer and Assistant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Terminated</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5/7/2026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6/9/2027</w:t>
            </w:r>
          </w:p>
        </w:tc>
      </w:tr>
    </w:tbl>
    <w:p>
      <w:pPr>
        <w:pStyle w:val="TextBody"/>
        <w:bidi w:val="0"/>
        <w:spacing w:before="120" w:after="283"/>
        <w:jc w:val="left"/>
        <w:rPr>
          <w:rFonts w:ascii="Arial" w:hAnsi="Arial"/>
          <w:color w:val="000000"/>
          <w:sz w:val="20"/>
        </w:rPr>
      </w:pPr>
      <w:r>
        <w:rPr>
          <w:rFonts w:ascii="Arial" w:hAnsi="Arial"/>
          <w:color w:val="000000"/>
          <w:sz w:val="20"/>
        </w:rPr>
        <w:t>* Intended to satisfy the affirmative defense of Rule 10b5-1(c)</w:t>
      </w:r>
    </w:p>
    <w:p>
      <w:pPr>
        <w:pStyle w:val="TextBody"/>
        <w:bidi w:val="0"/>
        <w:jc w:val="left"/>
        <w:rPr>
          <w:rFonts w:ascii="Arial" w:hAnsi="Arial"/>
          <w:color w:val="000000"/>
          <w:sz w:val="20"/>
        </w:rPr>
      </w:pPr>
      <w:r>
        <w:rPr>
          <w:rFonts w:ascii="Arial" w:hAnsi="Arial"/>
          <w:color w:val="000000"/>
          <w:sz w:val="20"/>
        </w:rPr>
        <w:t>** Not intended to satisfy the affirmative defense of Rule 10b5-1(c)</w:t>
      </w:r>
    </w:p>
    <w:p>
      <w:pPr>
        <w:pStyle w:val="TextBody"/>
        <w:bidi w:val="0"/>
        <w:spacing w:before="120" w:after="283"/>
        <w:jc w:val="left"/>
        <w:rPr>
          <w:rFonts w:ascii="Arial" w:hAnsi="Arial"/>
          <w:color w:val="000000"/>
          <w:sz w:val="20"/>
        </w:rPr>
      </w:pPr>
      <w:r>
        <w:rPr>
          <w:rFonts w:ascii="Arial" w:hAnsi="Arial"/>
          <w:color w:val="000000"/>
          <w:sz w:val="20"/>
        </w:rPr>
        <w:t>(a) This Rule 10b5-1 trading arrangement was originally adopted on March 10, 2026.</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667" w:type="dxa"/>
        <w:jc w:val="left"/>
        <w:tblInd w:w="0" w:type="dxa"/>
        <w:tblLayout w:type="fixed"/>
        <w:tblCellMar>
          <w:top w:w="28" w:type="dxa"/>
          <w:left w:w="28" w:type="dxa"/>
          <w:bottom w:w="28" w:type="dxa"/>
          <w:right w:w="28" w:type="dxa"/>
        </w:tblCellMar>
      </w:tblPr>
      <w:tblGrid>
        <w:gridCol w:w="751"/>
        <w:gridCol w:w="916"/>
      </w:tblGrid>
      <w:tr>
        <w:trPr/>
        <w:tc>
          <w:tcPr>
            <w:tcW w:w="7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r>
              <w:rPr>
                <w:rFonts w:ascii="Arial" w:hAnsi="Arial"/>
                <w:b/>
                <w:color w:val="000000"/>
                <w:sz w:val="20"/>
              </w:rPr>
              <w:t>Item 6.</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bookmarkStart w:id="23" w:name="exhibits"/>
            <w:bookmarkEnd w:id="23"/>
            <w:r>
              <w:rPr>
                <w:rFonts w:ascii="Arial" w:hAnsi="Arial"/>
                <w:b/>
                <w:color w:val="000000"/>
                <w:sz w:val="20"/>
              </w:rPr>
              <w:t>Exhibits</w:t>
            </w:r>
          </w:p>
        </w:tc>
      </w:tr>
    </w:tbl>
    <w:p>
      <w:pPr>
        <w:pStyle w:val="TextBody"/>
        <w:bidi w:val="0"/>
        <w:spacing w:before="120" w:after="283"/>
        <w:jc w:val="left"/>
        <w:rPr>
          <w:rFonts w:ascii="Arial" w:hAnsi="Arial"/>
          <w:color w:val="000000"/>
          <w:sz w:val="20"/>
        </w:rPr>
      </w:pPr>
      <w:r>
        <w:rPr>
          <w:rFonts w:ascii="Arial" w:hAnsi="Arial"/>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9406"/>
      </w:tblGrid>
      <w:tr>
        <w:trPr/>
        <w:tc>
          <w:tcPr>
            <w:tcW w:w="799"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799" w:type="dxa"/>
            <w:tcBorders/>
            <w:tcMar>
              <w:top w:w="0" w:type="dxa"/>
              <w:left w:w="0" w:type="dxa"/>
              <w:bottom w:w="0" w:type="dxa"/>
              <w:right w:w="0" w:type="dxa"/>
            </w:tcMar>
            <w:vAlign w:val="center"/>
          </w:tcPr>
          <w:p>
            <w:pPr>
              <w:pStyle w:val="TableContents"/>
              <w:bidi w:val="0"/>
              <w:jc w:val="center"/>
              <w:rPr>
                <w:rFonts w:ascii="Arial" w:hAnsi="Arial"/>
                <w:b/>
                <w:color w:val="000000"/>
                <w:sz w:val="16"/>
                <w:u w:val="single"/>
              </w:rPr>
            </w:pPr>
            <w:r>
              <w:rPr>
                <w:rFonts w:ascii="Arial" w:hAnsi="Arial"/>
                <w:b/>
                <w:color w:val="000000"/>
                <w:sz w:val="16"/>
                <w:u w:val="single"/>
              </w:rPr>
              <w:t>Exhibit</w:t>
            </w:r>
          </w:p>
          <w:p>
            <w:pPr>
              <w:pStyle w:val="TableContents"/>
              <w:bidi w:val="0"/>
              <w:spacing w:before="0" w:after="283"/>
              <w:jc w:val="center"/>
              <w:rPr>
                <w:rFonts w:ascii="Arial" w:hAnsi="Arial"/>
                <w:b/>
                <w:color w:val="000000"/>
                <w:sz w:val="16"/>
                <w:u w:val="single"/>
              </w:rPr>
            </w:pPr>
            <w:r>
              <w:rPr>
                <w:rFonts w:ascii="Arial" w:hAnsi="Arial"/>
                <w:b/>
                <w:color w:val="000000"/>
                <w:sz w:val="16"/>
                <w:u w:val="single"/>
              </w:rPr>
              <w:t>Number</w:t>
            </w:r>
          </w:p>
        </w:tc>
        <w:tc>
          <w:tcPr>
            <w:tcW w:w="94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Description</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Amendment No. 6 to Credit Agreement, dated as of June 11, 2026, among Allison Transmission Holdings, Inc., Allison Transmission, Inc., as borrower, Fairfield Manufacturing Company, Inc., as subsidiary guarantor, and Citibank, N.A., as administrative agent, and as the 2026 refinancing term lender (incorporated by reference to Exhibit 10.1 to the Registrant’s Current Report on Form 8-K filed June 16, 2026)</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alsn-ex10_2.htm">
              <w:r>
                <w:rPr>
                  <w:rStyle w:val="InternetLink"/>
                  <w:rFonts w:ascii="Arial" w:hAnsi="Arial"/>
                  <w:color w:val="0000FF"/>
                  <w:sz w:val="20"/>
                  <w:u w:val="single"/>
                </w:rPr>
                <w:t>Ninth Amended and Restated Non-Employee Director Compensation Policy (filed herewith)</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alsn-ex31_1.htm">
              <w:r>
                <w:rPr>
                  <w:rStyle w:val="InternetLink"/>
                  <w:rFonts w:ascii="Arial" w:hAnsi="Arial"/>
                  <w:color w:val="0000FF"/>
                  <w:sz w:val="20"/>
                  <w:u w:val="single"/>
                </w:rPr>
                <w:t>Certification of Chief Executive Officer pursuant to Rule 13a-14(a)/15d-14(a) as adopted pursuant to Section 302 of the Sarbanes-Oxley Act of 2002 (filed herewith)</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alsn-ex31_2.htm">
              <w:r>
                <w:rPr>
                  <w:rStyle w:val="InternetLink"/>
                  <w:rFonts w:ascii="Arial" w:hAnsi="Arial"/>
                  <w:color w:val="0000FF"/>
                  <w:sz w:val="20"/>
                  <w:u w:val="single"/>
                </w:rPr>
                <w:t>Certification of Chief Financial Officer pursuant to Rule 13a-14(a)/15d-14(a) as adopted pursuant to Section 302 of the Sarbanes-Oxley Act of 2002 (filed herewith)</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alsn-ex32_1.htm">
              <w:r>
                <w:rPr>
                  <w:rStyle w:val="InternetLink"/>
                  <w:rFonts w:ascii="Arial" w:hAnsi="Arial"/>
                  <w:color w:val="0000FF"/>
                  <w:sz w:val="20"/>
                  <w:u w:val="single"/>
                </w:rPr>
                <w:t>Certification of Periodic Report by Chief Executive Officer and Chief Financial Officer pursuant to 18 U.S.C. Section 1350, as adopted pursuant to Section 906 of the Sarbanes-Oxley Act of 2002 (filed herewith)</w:t>
              </w:r>
            </w:hyperlink>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9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(filed herewith)</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101.SCH</w:t>
            </w:r>
          </w:p>
        </w:tc>
        <w:tc>
          <w:tcPr>
            <w:tcW w:w="9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 (filed herewith)</w:t>
            </w:r>
          </w:p>
        </w:tc>
      </w:tr>
      <w:tr>
        <w:trPr/>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9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 The cover page from the Registrant’s Quarterly Report on Form 10-Q for the quarter ended June 30, 2026, formatted in Inline XBRL and contained in Exhibit 101</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4" w:name="signatures"/>
      <w:bookmarkEnd w:id="24"/>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1"/>
        <w:gridCol w:w="386"/>
        <w:gridCol w:w="2152"/>
        <w:gridCol w:w="2756"/>
        <w:gridCol w:w="3400"/>
      </w:tblGrid>
      <w:tr>
        <w:trPr/>
        <w:tc>
          <w:tcPr>
            <w:tcW w:w="151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8"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ALLISON TRANSMISSION HOLDINGS, INC.</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2026</w:t>
            </w:r>
          </w:p>
        </w:tc>
        <w:tc>
          <w:tcPr>
            <w:tcW w:w="3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3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S. Graziosi</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 Graziosi</w:t>
            </w:r>
          </w:p>
        </w:tc>
      </w:tr>
      <w:tr>
        <w:trPr/>
        <w:tc>
          <w:tcPr>
            <w:tcW w:w="15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156" w:type="dxa"/>
            <w:gridSpan w:val="2"/>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Chair, President and 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5, 2026</w:t>
            </w:r>
          </w:p>
        </w:tc>
        <w:tc>
          <w:tcPr>
            <w:tcW w:w="3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3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Scott Mell</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5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Mell</w:t>
            </w:r>
          </w:p>
        </w:tc>
      </w:tr>
      <w:tr>
        <w:trPr/>
        <w:tc>
          <w:tcPr>
            <w:tcW w:w="1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156"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 and Treasurer (Principal Financial Officer and Principal Accounting Officer)</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sn-ex10_2.htm"/>
      <w:bookmarkStart w:id="26" w:name="ksalsnex10_2"/>
      <w:bookmarkEnd w:id="25"/>
      <w:bookmarkEnd w:id="26"/>
      <w:r>
        <w:rPr>
          <w:rFonts w:ascii="Times New Roman" w:hAnsi="Times New Roman"/>
          <w:b/>
          <w:color w:val="000000"/>
          <w:sz w:val="20"/>
        </w:rPr>
        <w:t>Exhibit 10.2</w:t>
      </w:r>
      <w:r>
        <w:br w:type="page"/>
      </w:r>
    </w:p>
    <w:p>
      <w:pPr>
        <w:pStyle w:val="TextBody"/>
        <w:bidi w:val="0"/>
        <w:jc w:val="left"/>
        <w:rPr/>
      </w:pPr>
      <w:r>
        <w:rPr/>
        <w:t> </w:t>
      </w:r>
    </w:p>
    <w:p>
      <w:pPr>
        <w:pStyle w:val="TextBody"/>
        <w:bidi w:val="0"/>
        <w:spacing w:before="480" w:after="283"/>
        <w:jc w:val="center"/>
        <w:rPr>
          <w:rFonts w:ascii="Times New Roman" w:hAnsi="Times New Roman"/>
          <w:b/>
          <w:color w:val="000000"/>
          <w:sz w:val="24"/>
        </w:rPr>
      </w:pPr>
      <w:r>
        <w:rPr>
          <w:rFonts w:ascii="Times New Roman" w:hAnsi="Times New Roman"/>
          <w:b/>
          <w:color w:val="000000"/>
          <w:sz w:val="24"/>
        </w:rPr>
        <w:t>ALLISON TRANSMISSION HOLDINGS,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Ninth Amended and Restated</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This Ninth Amended and Restated Non-Employee Director Compensation Policy (the “</w:t>
      </w:r>
      <w:r>
        <w:rPr>
          <w:rFonts w:ascii="Times New Roman" w:hAnsi="Times New Roman"/>
          <w:color w:val="000000"/>
          <w:sz w:val="24"/>
          <w:u w:val="single"/>
        </w:rPr>
        <w:t>Policy</w:t>
      </w:r>
      <w:r>
        <w:rPr>
          <w:color w:val="000000"/>
        </w:rPr>
        <w:t>”</w:t>
      </w:r>
      <w:r>
        <w:rPr>
          <w:rFonts w:ascii="Times New Roman" w:hAnsi="Times New Roman"/>
          <w:color w:val="000000"/>
          <w:sz w:val="24"/>
        </w:rPr>
        <w:t>) as set forth herein, amends and restates that certain Eighth Amended and Restated Non-Employee Director Compensation Policy, previously adopted by the Compensation Committee of the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of Allison Transmission Holdings, Inc. (the “</w:t>
      </w:r>
      <w:r>
        <w:rPr>
          <w:rFonts w:ascii="Times New Roman" w:hAnsi="Times New Roman"/>
          <w:color w:val="000000"/>
          <w:sz w:val="24"/>
          <w:u w:val="single"/>
        </w:rPr>
        <w:t>Company</w:t>
      </w:r>
      <w:r>
        <w:rPr>
          <w:color w:val="000000"/>
        </w:rPr>
        <w:t>”</w:t>
      </w:r>
      <w:r>
        <w:rPr>
          <w:rFonts w:ascii="Times New Roman" w:hAnsi="Times New Roman"/>
          <w:color w:val="000000"/>
          <w:sz w:val="24"/>
        </w:rPr>
        <w:t>) and shall be effective as of May 6, 2026. Capitalized but undefined terms used herein shall have the meanings provided for in the Allison Transmission Holdings, Inc. 2024 Equity Incentive Award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Annual Retainer and Other Fees</w:t>
      </w:r>
      <w:r>
        <w:rPr>
          <w:rFonts w:ascii="Times New Roman" w:hAnsi="Times New Roman"/>
          <w:color w:val="000000"/>
          <w:sz w:val="24"/>
        </w:rPr>
        <w:t>. Each member of the Board who is not employed by the Company or one of its subsidiaries (a “</w:t>
      </w:r>
      <w:r>
        <w:rPr>
          <w:rFonts w:ascii="Times New Roman" w:hAnsi="Times New Roman"/>
          <w:color w:val="000000"/>
          <w:sz w:val="24"/>
          <w:u w:val="single"/>
        </w:rPr>
        <w:t>Non-Employee Director</w:t>
      </w:r>
      <w:r>
        <w:rPr>
          <w:color w:val="000000"/>
        </w:rPr>
        <w:t>”</w:t>
      </w:r>
      <w:r>
        <w:rPr>
          <w:rFonts w:ascii="Times New Roman" w:hAnsi="Times New Roman"/>
          <w:color w:val="000000"/>
          <w:sz w:val="24"/>
        </w:rPr>
        <w:t xml:space="preserve">) shall be entitled to an annual retainer and other fee(s)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annual retainer fee for service on the Board shall be $105,000 (such amount shall also be referred to as, the “</w:t>
      </w:r>
      <w:r>
        <w:rPr>
          <w:rFonts w:ascii="Times New Roman" w:hAnsi="Times New Roman"/>
          <w:color w:val="000000"/>
          <w:sz w:val="24"/>
          <w:u w:val="single"/>
        </w:rPr>
        <w:t>Annual Retainer</w:t>
      </w:r>
      <w:r>
        <w:rPr>
          <w:color w:val="000000"/>
        </w:rPr>
        <w:t>”</w:t>
      </w:r>
      <w:r>
        <w:rPr>
          <w:rFonts w:ascii="Times New Roman" w:hAnsi="Times New Roman"/>
          <w:color w:val="000000"/>
          <w:sz w:val="24"/>
        </w:rPr>
        <w:t xml:space="preserve">), with the Annual Retainer payable at the Non-Employee Director’s election </w:t>
      </w:r>
      <w:r>
        <w:rPr>
          <w:rFonts w:ascii="Times New Roman" w:hAnsi="Times New Roman"/>
          <w:i/>
          <w:color w:val="000000"/>
          <w:sz w:val="24"/>
        </w:rPr>
        <w:t>either</w:t>
      </w:r>
      <w:r>
        <w:rPr>
          <w:color w:val="000000"/>
        </w:rPr>
        <w:t xml:space="preserve"> </w:t>
      </w:r>
      <w:r>
        <w:rPr>
          <w:rFonts w:ascii="Times New Roman" w:hAnsi="Times New Roman"/>
          <w:color w:val="000000"/>
          <w:sz w:val="24"/>
        </w:rPr>
        <w:t>100% in fully vested</w:t>
      </w:r>
      <w:r>
        <w:rPr>
          <w:color w:val="000000"/>
        </w:rPr>
        <w:t xml:space="preserve"> </w:t>
      </w:r>
      <w:r>
        <w:rPr>
          <w:rFonts w:ascii="Times New Roman" w:hAnsi="Times New Roman"/>
          <w:color w:val="000000"/>
          <w:sz w:val="24"/>
        </w:rPr>
        <w:t xml:space="preserve">Common Stock granted under the Plan (valued based on the Fair Market Value of the Common Stock on the date of grant), 100% in cash, </w:t>
      </w:r>
      <w:r>
        <w:rPr>
          <w:rFonts w:ascii="Times New Roman" w:hAnsi="Times New Roman"/>
          <w:i/>
          <w:color w:val="000000"/>
          <w:sz w:val="24"/>
        </w:rPr>
        <w:t>or</w:t>
      </w:r>
      <w:r>
        <w:rPr>
          <w:color w:val="000000"/>
        </w:rPr>
        <w:t xml:space="preserve"> </w:t>
      </w:r>
      <w:r>
        <w:rPr>
          <w:rFonts w:ascii="Times New Roman" w:hAnsi="Times New Roman"/>
          <w:color w:val="000000"/>
          <w:sz w:val="24"/>
        </w:rPr>
        <w:t>50% in fully vested</w:t>
      </w:r>
      <w:r>
        <w:rPr>
          <w:color w:val="000000"/>
        </w:rPr>
        <w:t xml:space="preserve"> </w:t>
      </w:r>
      <w:r>
        <w:rPr>
          <w:rFonts w:ascii="Times New Roman" w:hAnsi="Times New Roman"/>
          <w:color w:val="000000"/>
          <w:sz w:val="24"/>
        </w:rPr>
        <w:t xml:space="preserve">Common Stock granted under the Plan and 50% in cash (if no election is made, the Annual Retainer will be paid 100% in cash);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annual retainer fee for service as Chair of the Audit Committee shall be an additional $25,000, payable in cash;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annual retainer fee for service as a Chair of a committee of the Board (other than the Audit Committee) shall be an additional $20,000, payable in cash;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annual retainer fee for service as a Non-Employee Director on the Audit Committee shall be an additional $12,000, payable in cash;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annual retainer fee for service as a Non-Employee Director on a committee of the Board (other than the Audit Committee) shall be an additional $7,500, payable in cash;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leadership fee for service as the Non-Executive Chairman of the Board shall be an additional $50,000, payable in cash;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The Board leadership fee for service as the Lead Director of the Board shall be an additional $35,000 (together with the fees in clauses (b) through (g), the “</w:t>
      </w:r>
      <w:r>
        <w:rPr>
          <w:rFonts w:ascii="Times New Roman" w:hAnsi="Times New Roman"/>
          <w:color w:val="000000"/>
          <w:sz w:val="24"/>
          <w:u w:val="single"/>
        </w:rPr>
        <w:t>Other Fees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In no event shall a Non-Employee Director receive a fee pursuant to clause (d) or (e) with respect to a committee that the Non-Employee Director serves as its Chair for the applicable year.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Timing of Payment of Annual Retainer and Other Fees</w:t>
      </w:r>
      <w:r>
        <w:rPr>
          <w:rFonts w:ascii="Times New Roman" w:hAnsi="Times New Roman"/>
          <w:color w:val="000000"/>
          <w:sz w:val="24"/>
        </w:rPr>
        <w:t xml:space="preserve">.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Annual Equity Award</w:t>
      </w:r>
      <w:r>
        <w:rPr>
          <w:rFonts w:ascii="Times New Roman" w:hAnsi="Times New Roman"/>
          <w:color w:val="000000"/>
          <w:sz w:val="24"/>
        </w:rPr>
        <w:t>. Each Non-Employee Director shall be entitled to an annual grant of Restricted Stock Units under the Plan covering shares of Common Stock with a grant date Fair Market Value of $185,000 (the “</w:t>
      </w:r>
      <w:r>
        <w:rPr>
          <w:rFonts w:ascii="Times New Roman" w:hAnsi="Times New Roman"/>
          <w:color w:val="000000"/>
          <w:sz w:val="24"/>
          <w:u w:val="single"/>
        </w:rPr>
        <w:t>Annual Equity Award</w:t>
      </w:r>
      <w:r>
        <w:rPr>
          <w:color w:val="000000"/>
        </w:rPr>
        <w:t>”</w:t>
      </w:r>
      <w:r>
        <w:rPr>
          <w:rFonts w:ascii="Times New Roman" w:hAnsi="Times New Roman"/>
          <w:color w:val="000000"/>
          <w:sz w:val="24"/>
        </w:rPr>
        <w:t xml:space="preserve">).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Deferral Elections</w:t>
      </w:r>
      <w:r>
        <w:rPr>
          <w:rFonts w:ascii="Times New Roman" w:hAnsi="Times New Roman"/>
          <w:color w:val="000000"/>
          <w:sz w:val="24"/>
        </w:rPr>
        <w:t>. A Non-Employee Director may elect to receive deferred stock units (“</w:t>
      </w:r>
      <w:r>
        <w:rPr>
          <w:rFonts w:ascii="Times New Roman" w:hAnsi="Times New Roman"/>
          <w:color w:val="000000"/>
          <w:sz w:val="24"/>
          <w:u w:val="single"/>
        </w:rPr>
        <w:t>Deferred Stock</w:t>
      </w:r>
      <w:r>
        <w:rPr>
          <w:color w:val="000000"/>
        </w:rPr>
        <w:t>”</w:t>
      </w:r>
      <w:r>
        <w:rPr>
          <w:rFonts w:ascii="Times New Roman" w:hAnsi="Times New Roman"/>
          <w:color w:val="000000"/>
          <w:sz w:val="24"/>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Times New Roman" w:hAnsi="Times New Roman"/>
          <w:color w:val="000000"/>
          <w:sz w:val="24"/>
          <w:u w:val="single"/>
        </w:rPr>
        <w:t>Director Deferred Compensation Plan</w:t>
      </w:r>
      <w:r>
        <w:rPr>
          <w:color w:val="000000"/>
        </w:rPr>
        <w:t>”</w:t>
      </w:r>
      <w:r>
        <w:rPr>
          <w:rFonts w:ascii="Times New Roman" w:hAnsi="Times New Roman"/>
          <w:color w:val="000000"/>
          <w:sz w:val="24"/>
        </w:rPr>
        <w:t>). All deferral elections must be made in accordance with and are subject to the terms and conditions of the Director Deferred Compensation Plan. As used in this paragraph and in paragraph 5(i), the terms “</w:t>
      </w:r>
      <w:r>
        <w:rPr>
          <w:rFonts w:ascii="Times New Roman" w:hAnsi="Times New Roman"/>
          <w:color w:val="000000"/>
          <w:sz w:val="24"/>
          <w:u w:val="single"/>
        </w:rPr>
        <w:t>Separation from Service</w:t>
      </w:r>
      <w:r>
        <w:rPr>
          <w:color w:val="000000"/>
        </w:rPr>
        <w:t xml:space="preserve">” </w:t>
      </w:r>
      <w:r>
        <w:rPr>
          <w:rFonts w:ascii="Times New Roman" w:hAnsi="Times New Roman"/>
          <w:color w:val="000000"/>
          <w:sz w:val="24"/>
        </w:rPr>
        <w:t>and “</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 xml:space="preserve">shall have meanings assigned to them in the Director Deferred Compensation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Directors Commencing Service After the Annual Stockholders Meeting; Partial Year Roles</w:t>
      </w:r>
      <w:r>
        <w:rPr>
          <w:rFonts w:ascii="Times New Roman" w:hAnsi="Times New Roman"/>
          <w:color w:val="000000"/>
          <w:sz w:val="24"/>
        </w:rPr>
        <w:t xml:space="preserve">. If a Non-Employee Director commences service on the Board after the date of the Company’s regular annual stockholders meeting, the Non-Employee Director will receive a pro-rated portion the Annual Retainer, Other Fees, as applicable, and the Annual Equity Grant (based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Effect of Other Plan Provisions</w:t>
      </w:r>
      <w:r>
        <w:rPr>
          <w:rFonts w:ascii="Times New Roman" w:hAnsi="Times New Roman"/>
          <w:color w:val="000000"/>
          <w:sz w:val="24"/>
        </w:rPr>
        <w:t>. All of the provisions of the Plan shall apply to the Awards granted automatically pursuant to this Policy, except to the extent such provisions are inconsistent with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Policy Subject to Amendment, Modification and Termination</w:t>
      </w:r>
      <w:r>
        <w:rPr>
          <w:rFonts w:ascii="Times New Roman" w:hAnsi="Times New Roman"/>
          <w:color w:val="000000"/>
          <w:sz w:val="24"/>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sn-ex31_1.htm"/>
      <w:bookmarkStart w:id="28" w:name="ksalsnex31_1"/>
      <w:bookmarkEnd w:id="27"/>
      <w:bookmarkEnd w:id="28"/>
      <w:r>
        <w:rPr>
          <w:rFonts w:ascii="Times New Roman" w:hAnsi="Times New Roman"/>
          <w:b/>
          <w:color w:val="000000"/>
          <w:sz w:val="20"/>
        </w:rPr>
        <w:t>Exhibit 31.1</w:t>
      </w:r>
      <w:r>
        <w:br w:type="page"/>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S. Graziosi,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Dated: August 5, 2026</w:t>
            </w:r>
          </w:p>
          <w:p>
            <w:pPr>
              <w:pStyle w:val="TableContents"/>
              <w:bidi w:val="0"/>
              <w:jc w:val="left"/>
              <w:rPr/>
            </w:pPr>
            <w:r>
              <w:rPr/>
              <w:t> </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S. Graziosi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Chair,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sn-ex31_2.htm"/>
      <w:bookmarkStart w:id="30" w:name="ksalsnex31_2"/>
      <w:bookmarkEnd w:id="29"/>
      <w:bookmarkEnd w:id="30"/>
      <w:r>
        <w:rPr>
          <w:rFonts w:ascii="Times New Roman" w:hAnsi="Times New Roman"/>
          <w:b/>
          <w:color w:val="000000"/>
          <w:sz w:val="20"/>
        </w:rPr>
        <w:t>Exhibit 31.2</w:t>
      </w:r>
      <w:r>
        <w:br w:type="page"/>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 Scott Mell,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805" w:type="dxa"/>
        <w:jc w:val="left"/>
        <w:tblInd w:w="0" w:type="dxa"/>
        <w:tblLayout w:type="fixed"/>
        <w:tblCellMar>
          <w:top w:w="28" w:type="dxa"/>
          <w:left w:w="28" w:type="dxa"/>
          <w:bottom w:w="28" w:type="dxa"/>
          <w:right w:w="28" w:type="dxa"/>
        </w:tblCellMar>
      </w:tblPr>
      <w:tblGrid>
        <w:gridCol w:w="1307"/>
        <w:gridCol w:w="1148"/>
        <w:gridCol w:w="1159"/>
        <w:gridCol w:w="191"/>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135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Mell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lsn-ex32_1.htm"/>
      <w:bookmarkStart w:id="32" w:name="ksalsnex32_1"/>
      <w:bookmarkEnd w:id="31"/>
      <w:bookmarkEnd w:id="32"/>
      <w:r>
        <w:rPr>
          <w:rFonts w:ascii="Times New Roman" w:hAnsi="Times New Roman"/>
          <w:b/>
          <w:color w:val="000000"/>
          <w:sz w:val="20"/>
        </w:rPr>
        <w:t>Exhibit 32.1</w:t>
      </w:r>
      <w:r>
        <w:br w:type="page"/>
      </w:r>
    </w:p>
    <w:p>
      <w:pPr>
        <w:pStyle w:val="TextBody"/>
        <w:bidi w:val="0"/>
        <w:jc w:val="right"/>
        <w:rPr/>
      </w:pPr>
      <w:r>
        <w:rPr/>
        <w:t> </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Allison Transmission Holdings, Inc. (the “Company”) on Form 10-Q for the quarter ending June 30, 2026 as filed with the Securities and Exchange Commission on the date hereof (the “Report”), we, David S. Graziosi, Chair, President and Chief Executive Officer of the Company, and Scott Mell, Chief Financial Officer and Treasurer of the Company,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984" w:type="dxa"/>
        <w:jc w:val="left"/>
        <w:tblInd w:w="0" w:type="dxa"/>
        <w:tblLayout w:type="fixed"/>
        <w:tblCellMar>
          <w:top w:w="28" w:type="dxa"/>
          <w:left w:w="28" w:type="dxa"/>
          <w:bottom w:w="28" w:type="dxa"/>
          <w:right w:w="28" w:type="dxa"/>
        </w:tblCellMar>
      </w:tblPr>
      <w:tblGrid>
        <w:gridCol w:w="3721"/>
        <w:gridCol w:w="109"/>
        <w:gridCol w:w="154"/>
      </w:tblGrid>
      <w:tr>
        <w:trPr/>
        <w:tc>
          <w:tcPr>
            <w:tcW w:w="3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263"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S. Graziosi</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President and Chief Executive Officer</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263"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Mell</w:t>
            </w:r>
          </w:p>
        </w:tc>
        <w:tc>
          <w:tcPr>
            <w:tcW w:w="2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11207/000119312526272602/d122590d8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23651</Words>
  <Characters>127729</Characters>
  <CharactersWithSpaces>153191</CharactersWithSpaces>
  <Paragraphs>8753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