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Basso Rafael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340"/>
        <w:spacing w:after="0" w:line="284" w:lineRule="auto"/>
        <w:rPr>
          <w:sz w:val="20"/>
          <w:szCs w:val="20"/>
          <w:color w:val="auto"/>
        </w:rPr>
      </w:pPr>
      <w:r>
        <w:rPr>
          <w:rFonts w:ascii="Times New Roman" w:cs="Times New Roman" w:eastAsia="Times New Roman" w:hAnsi="Times New Roman"/>
          <w:sz w:val="17"/>
          <w:szCs w:val="17"/>
          <w:color w:val="0000FF"/>
        </w:rPr>
        <w:t>C/O ALLISON TRANSMISSION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ALLISON WAY</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46222</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Allison Transmission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11/30/2023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VP,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11/30/2023</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21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154</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firstLine="3"/>
        <w:spacing w:after="0" w:line="251"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previously awarded restricted stock units ("RSUs") and vest proportionately with the RSUs to which they relate. Each dividend equivalent right is the economic equivalent of one share of Allison Transmission Holdings, Inc. common stock.</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Preston B. Ray, attorney-in- </w:t>
      </w:r>
      <w:r>
        <w:rPr>
          <w:rFonts w:ascii="Times New Roman" w:cs="Times New Roman" w:eastAsia="Times New Roman" w:hAnsi="Times New Roman"/>
          <w:sz w:val="32"/>
          <w:szCs w:val="32"/>
          <w:color w:val="0000FF"/>
          <w:vertAlign w:val="subscript"/>
        </w:rPr>
        <w:t>12/04/2023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1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61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18715" TargetMode="External"/><Relationship Id="rId13"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2023-12-04T12:44:45Z</dcterms:created>
  <dcterms:modified xsi:type="dcterms:W3CDTF">2023-12-04T12:44:45Z</dcterms:modified>
</cp:coreProperties>
</file>