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1.jpeg" ContentType="image/jpeg"/>
  <Override PartName="/word/media/image9.jpeg" ContentType="image/jpeg"/>
  <Override PartName="/word/media/image1.png" ContentType="image/png"/>
  <Override PartName="/word/media/image3.jpeg" ContentType="image/jpeg"/>
  <Override PartName="/word/media/image2.png" ContentType="image/pn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5413d8k.htm"/>
      <w:bookmarkStart w:id="1" w:name="ksd9541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ALLISON TRANSMISSION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4055"/>
        <w:gridCol w:w="60"/>
        <w:gridCol w:w="1055"/>
        <w:gridCol w:w="60"/>
        <w:gridCol w:w="1370"/>
      </w:tblGrid>
      <w:tr>
        <w:trPr/>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001-35456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26-0414014</w:t>
            </w:r>
          </w:p>
        </w:tc>
      </w:tr>
      <w:tr>
        <w:trPr/>
        <w:tc>
          <w:tcPr>
            <w:tcW w:w="4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center"/>
              <w:rPr>
                <w:b/>
              </w:rPr>
            </w:pPr>
            <w:r>
              <w:rPr>
                <w:b/>
              </w:rPr>
              <w:t>One Allison Way, Indianapolis, Indiana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46222</w:t>
            </w:r>
          </w:p>
        </w:tc>
      </w:tr>
      <w:tr>
        <w:trPr/>
        <w:tc>
          <w:tcPr>
            <w:tcW w:w="405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(317) 242-5000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ALSN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 2026, Allison Transmission Holdings, Inc. (“Allison”) published an earnings release reporting its financial results for the three months ended June 30, 2026. A copy of the earnings release is attached as Exhibit 99.1 hereto. Following the publication of the earnings release, Allison will host an earnings call on August 3, 2026 at 5:00 p.m. ET on which its financial results for the three months ended June 30, 2026 will be discussed. The investor presentation materials that will be used for the call are attached as Exhibit 99.2 hereto. </w:t>
      </w:r>
    </w:p>
    <w:p>
      <w:pPr>
        <w:pStyle w:val="TextBody"/>
        <w:bidi w:val="0"/>
        <w:spacing w:before="240" w:after="0"/>
        <w:jc w:val="left"/>
        <w:rPr>
          <w:rFonts w:ascii="Times New Roman" w:hAnsi="Times New Roman"/>
          <w:sz w:val="20"/>
        </w:rPr>
      </w:pPr>
      <w:r>
        <w:rPr>
          <w:rFonts w:ascii="Times New Roman" w:hAnsi="Times New Roman"/>
          <w:sz w:val="20"/>
        </w:rPr>
        <w:t>On August 3, 2026, Allison posted the materials attached as Exhibits 99.1 and 99.2 on its website (</w:t>
      </w:r>
      <w:r>
        <w:rPr>
          <w:rFonts w:ascii="Times New Roman" w:hAnsi="Times New Roman"/>
          <w:sz w:val="20"/>
          <w:u w:val="single"/>
        </w:rPr>
        <w:t>www.allisontransmission.com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discussed on page 2 of Exhibit 99.2, the investor presentation contains forward-looking statements within the meaning of the federal securities laws. These statements are present expectations and are subject to the limitations listed therein and in Allison’s other Securities and Exchange Commission filings, including that actual events or results may differ materially from those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(including the exhibits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i/>
              </w:rPr>
            </w:pPr>
            <w:r>
              <w:rPr>
                <w:i/>
              </w:rPr>
              <w:t>(d)</w:t>
            </w:r>
          </w:p>
        </w:tc>
        <w:tc>
          <w:tcPr>
            <w:tcW w:w="81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Exhibits: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5413dex991.htm">
              <w:r>
                <w:rPr>
                  <w:rStyle w:val="InternetLink"/>
                </w:rPr>
                <w:t xml:space="preserve">Earnings release dated August 3,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5413dex992.htm">
              <w:r>
                <w:rPr>
                  <w:rStyle w:val="InternetLink"/>
                </w:rPr>
                <w:t xml:space="preserve">Investor presentation materials dated August 3,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088" w:type="dxa"/>
        <w:jc w:val="left"/>
        <w:tblInd w:w="0" w:type="dxa"/>
        <w:tblLayout w:type="fixed"/>
        <w:tblCellMar>
          <w:top w:w="0" w:type="dxa"/>
          <w:left w:w="0" w:type="dxa"/>
          <w:bottom w:w="0" w:type="dxa"/>
          <w:right w:w="0" w:type="dxa"/>
        </w:tblCellMar>
      </w:tblPr>
      <w:tblGrid>
        <w:gridCol w:w="2075"/>
        <w:gridCol w:w="60"/>
        <w:gridCol w:w="23"/>
        <w:gridCol w:w="60"/>
        <w:gridCol w:w="650"/>
        <w:gridCol w:w="60"/>
        <w:gridCol w:w="41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70" w:type="dxa"/>
            <w:gridSpan w:val="3"/>
            <w:tcBorders/>
            <w:vAlign w:val="center"/>
          </w:tcPr>
          <w:p>
            <w:pPr>
              <w:pStyle w:val="TableContents"/>
              <w:bidi w:val="0"/>
              <w:spacing w:before="0" w:after="283"/>
              <w:jc w:val="left"/>
              <w:rPr>
                <w:b/>
              </w:rPr>
            </w:pPr>
            <w:r>
              <w:rPr>
                <w:b/>
              </w:rPr>
              <w:t>Allison Transmission Holdings,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22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C. Scroggins</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Eric C. Scroggins</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Chief Legal Officer and Assistant Secretary</w:t>
            </w:r>
          </w:p>
        </w:tc>
      </w:tr>
    </w:tbl>
    <w:p>
      <w:pPr>
        <w:pStyle w:val="TextBody"/>
        <w:bidi w:val="0"/>
        <w:spacing w:before="0" w:after="0"/>
        <w:jc w:val="right"/>
        <w:rPr>
          <w:rFonts w:ascii="Times New Roman" w:hAnsi="Times New Roman"/>
          <w:b/>
          <w:sz w:val="20"/>
        </w:rPr>
      </w:pPr>
      <w:bookmarkStart w:id="2" w:name="d95413dex991.htm"/>
      <w:bookmarkStart w:id="3" w:name="ksd9541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drawing>
                <wp:inline distT="0" distB="0" distL="0" distR="0">
                  <wp:extent cx="2352040" cy="4756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040" cy="47561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pPr>
            <w:r>
              <w:rPr/>
              <w:drawing>
                <wp:inline distT="0" distB="0" distL="0" distR="0">
                  <wp:extent cx="20955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44767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Allison Announces Second Quarter 2026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Sales of $1,566 million, up 92% year over year, including the addition of the Allison Off-Highway business unit acquired on January 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Record quarterly net sales of $860 million for the Allison Transmission business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of $181 million, 12% of Net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Diluted EPS of $2.15, Adjusted Diluted EPS of $2.73, up 8%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Adjusted EBITDA of $404 million, 26% of Net Sales, up 29% year over year </w:t>
            </w:r>
          </w:p>
        </w:tc>
      </w:tr>
    </w:tbl>
    <w:p>
      <w:pPr>
        <w:pStyle w:val="TextBody"/>
        <w:bidi w:val="0"/>
        <w:spacing w:before="240" w:after="0"/>
        <w:jc w:val="left"/>
        <w:rPr>
          <w:rFonts w:ascii="Times New Roman" w:hAnsi="Times New Roman"/>
          <w:sz w:val="20"/>
        </w:rPr>
      </w:pPr>
      <w:r>
        <w:rPr>
          <w:rFonts w:ascii="Times New Roman" w:hAnsi="Times New Roman"/>
          <w:b/>
          <w:sz w:val="20"/>
        </w:rPr>
        <w:t>INDIANAPOLIS, August 3, 2026 – Allison Transmission Holdings Inc. (NYSE: ALSN),</w:t>
      </w:r>
      <w:r>
        <w:rPr>
          <w:rFonts w:ascii="Times New Roman" w:hAnsi="Times New Roman"/>
          <w:sz w:val="20"/>
        </w:rPr>
        <w:t xml:space="preserve"> today reported second quarter net sales of $1,566 million with an adjusted EBITDA margin of 26 percent and net cash provided by operating activities of $312 million. </w:t>
      </w:r>
    </w:p>
    <w:p>
      <w:pPr>
        <w:pStyle w:val="TextBody"/>
        <w:bidi w:val="0"/>
        <w:spacing w:before="240" w:after="0"/>
        <w:jc w:val="left"/>
        <w:rPr>
          <w:rFonts w:ascii="Times New Roman" w:hAnsi="Times New Roman"/>
          <w:sz w:val="20"/>
        </w:rPr>
      </w:pPr>
      <w:r>
        <w:rPr>
          <w:rFonts w:ascii="Times New Roman" w:hAnsi="Times New Roman"/>
          <w:sz w:val="20"/>
        </w:rPr>
        <w:t xml:space="preserve">David S. Graziosi, Chair, President and Chief Executive Officer of Allison commented, “In the Allison Transmission business unit, execution of our growth initiatives in the Defense end market and continued momentum in the North American truck market led to record quarterly net sales of $860 million for the second quarter. We also saw strong year over year growth in the Allison Off-Highway business unit, particularly in the Construction &amp; Material Handling and Mining end markets as demand continues to rebound from trough levels. The Agriculture end market, although showing signs of recovery in certain segments and regions, has yet to inflect positively.” </w:t>
      </w:r>
    </w:p>
    <w:p>
      <w:pPr>
        <w:pStyle w:val="TextBody"/>
        <w:bidi w:val="0"/>
        <w:spacing w:before="240" w:after="0"/>
        <w:jc w:val="left"/>
        <w:rPr>
          <w:rFonts w:ascii="Times New Roman" w:hAnsi="Times New Roman"/>
          <w:sz w:val="20"/>
        </w:rPr>
      </w:pPr>
      <w:r>
        <w:rPr>
          <w:rFonts w:ascii="Times New Roman" w:hAnsi="Times New Roman"/>
          <w:sz w:val="20"/>
        </w:rPr>
        <w:t xml:space="preserve">Graziosi continued, “The successful integration of the Allison Off-Highway business unit, including capturing planned synergies and realizing the strategic benefits of the combined operations, remains a top priority. At the same time, Allison continues to execute across both business units, converting improving demand conditions into strong cash generation, reflected in record quarterly adjusted free cash flow of $281 million in the second quarter. Alongside repurchasing $46 million of our common stock and paying a quarterly dividend, we also made additional progress toward our leverage target by repaying the remaining $150 million outstanding under our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Second quarter results include segment reporting for Allison Transmission, the Company’s legacy business, excluding certain costs now accounted for within the Allison Central Group, and Allison Off-Highway, the business acquired from Dana Incorporated on January 1, 2026. The Allison Central Group is a centralized cost center which includes certain functional costs that support the Company’s global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Allison Consolidated Second Quarter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Net sales for the quarter were $1,566 million, including the addition of $706 million in net sales for the Allison Off-Highway business unit. </w:t>
      </w:r>
    </w:p>
    <w:p>
      <w:pPr>
        <w:pStyle w:val="TextBody"/>
        <w:bidi w:val="0"/>
        <w:spacing w:before="240" w:after="0"/>
        <w:jc w:val="left"/>
        <w:rPr>
          <w:rFonts w:ascii="Times New Roman" w:hAnsi="Times New Roman"/>
          <w:sz w:val="20"/>
        </w:rPr>
      </w:pPr>
      <w:r>
        <w:rPr>
          <w:rFonts w:ascii="Times New Roman" w:hAnsi="Times New Roman"/>
          <w:sz w:val="20"/>
        </w:rPr>
        <w:t xml:space="preserve">Gross profit for the quarter was $515 million, an increase of $112 million from $403 million for the same period in 2025. The increase was principally driven by the addition of the Allison Off-Highway business unit. Gross margin for the quarter was 33 percent.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for the quarter were $168 million, an increase of $64 million from $104 million for the same period in 2025. The increase was principally driven by the addition of the Allison Off-Highway business unit. Selling general and administrative expenses for the second quarter include $9 million of one-time acquisition-related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Engineering – research and development expenses for the quarter were $56 million, an increase of $13 million from $43 million for the same period in 2025. The increase was principally driven by the addition of the Allison Off-Highway business unit, partially offset by reduced product initiatives spending in the Allison Transmission business unit.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1</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Net income for the quarter was $181 million, a decrease of $14 million from $195 million for the same period in 2025. The decrease was principally driven by increased operating costs due to the acquisition of the Allison Off-Highway business unit, including increased depreciation and amortization expense. The year over year decrease in net income was also driven by higher interest expense, net, and unrealized mark-to-market adjustments for marketable securities. The decrease in net income was partially offset by increased gross profit driven by the addition of the Allison Off-Highway business unit. Diluted EPS for the second quarter was $2.15, a year over year decrease of 6 percent. </w:t>
      </w:r>
    </w:p>
    <w:p>
      <w:pPr>
        <w:pStyle w:val="TextBody"/>
        <w:bidi w:val="0"/>
        <w:spacing w:before="240" w:after="0"/>
        <w:jc w:val="left"/>
        <w:rPr>
          <w:rFonts w:ascii="Times New Roman" w:hAnsi="Times New Roman"/>
          <w:sz w:val="20"/>
        </w:rPr>
      </w:pPr>
      <w:r>
        <w:rPr>
          <w:rFonts w:ascii="Times New Roman" w:hAnsi="Times New Roman"/>
          <w:sz w:val="20"/>
        </w:rPr>
        <w:t xml:space="preserve">Excluding the effect of certain non-cash, non-recurring, infrequent or unusual items, including the costs associated with the acquisition of the Allison Off-Highway business unit, adjusted net income, a non-GAAP financial measure, was $229 million for the second quarter and adjusted diluted EPS was $2.73, a year over year increase of 8 percent.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a non-GAAP financial measure, was $404 million for the second quarter, an increase of $91 million from $313 million for the same period in 2025. Adjusted EBITDA margin for the quarter was 26 percent.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for the quarter was $312 million, a year over year increase of 70 percent. Adjusted free cash flow, a non-GAAP financial measure, for the quarter was $281 million, a year over year increase of 84 percent. </w:t>
      </w:r>
    </w:p>
    <w:p>
      <w:pPr>
        <w:pStyle w:val="TextBody"/>
        <w:bidi w:val="0"/>
        <w:spacing w:before="240" w:after="0"/>
        <w:jc w:val="left"/>
        <w:rPr>
          <w:rFonts w:ascii="Times New Roman" w:hAnsi="Times New Roman"/>
          <w:sz w:val="20"/>
        </w:rPr>
      </w:pPr>
      <w:r>
        <w:rPr>
          <w:rFonts w:ascii="Times New Roman" w:hAnsi="Times New Roman"/>
          <w:sz w:val="20"/>
        </w:rPr>
        <w:t xml:space="preserve">Allison ended the second quarter with nearly $400 million of cash and cash equivalents and $995 million of available borrowing capacity under its revolving credit facility. Allison ended the second quarter with total debt of $4,114 million and net debt of $3,715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second quarter, Allison paid a quarterly dividend of $0.29 per share and repurchased $46 million of its common stock, with $1,125 million of authorization remaining under its stock repurchase program. </w:t>
      </w:r>
    </w:p>
    <w:p>
      <w:pPr>
        <w:pStyle w:val="TextBody"/>
        <w:bidi w:val="0"/>
        <w:spacing w:before="360" w:after="0"/>
        <w:jc w:val="left"/>
        <w:rPr>
          <w:rFonts w:ascii="Times New Roman" w:hAnsi="Times New Roman"/>
          <w:b/>
          <w:sz w:val="20"/>
        </w:rPr>
      </w:pPr>
      <w:r>
        <w:rPr>
          <w:rFonts w:ascii="Times New Roman" w:hAnsi="Times New Roman"/>
          <w:b/>
          <w:sz w:val="20"/>
        </w:rPr>
        <w:t xml:space="preserve">Allison Transmission Second Quarter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Net sales for the quarter increased 6 percent from the same period in 2025, leading to record quarterly net sales of $860 million. </w:t>
      </w:r>
    </w:p>
    <w:p>
      <w:pPr>
        <w:pStyle w:val="TextBody"/>
        <w:bidi w:val="0"/>
        <w:spacing w:before="240" w:after="0"/>
        <w:jc w:val="left"/>
        <w:rPr>
          <w:rFonts w:ascii="Times New Roman" w:hAnsi="Times New Roman"/>
          <w:sz w:val="20"/>
        </w:rPr>
      </w:pPr>
      <w:r>
        <w:rPr>
          <w:rFonts w:ascii="Times New Roman" w:hAnsi="Times New Roman"/>
          <w:sz w:val="20"/>
        </w:rPr>
        <w:t xml:space="preserve">Gross profit for the quarter was $397 million, a decrease of $6 million from $403 million for the same period in 2025. The decrease was principally driven by unfavorable direct material costs and higher manufacturing expense, partially offset by price increases on certain products. Gross margin for the second quarter was 46 percent.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for the quarter were $75 million, an increase of $3 million from $72 million for the same period in 2025 when adjusting for allocations of certain selling, general and administrative expenses to the Allison Central Group. The increase was principally driven by increased commercial activities spending. </w:t>
      </w:r>
    </w:p>
    <w:p>
      <w:pPr>
        <w:pStyle w:val="TextBody"/>
        <w:bidi w:val="0"/>
        <w:spacing w:before="240" w:after="0"/>
        <w:jc w:val="left"/>
        <w:rPr>
          <w:rFonts w:ascii="Times New Roman" w:hAnsi="Times New Roman"/>
          <w:sz w:val="20"/>
        </w:rPr>
      </w:pPr>
      <w:r>
        <w:rPr>
          <w:rFonts w:ascii="Times New Roman" w:hAnsi="Times New Roman"/>
          <w:sz w:val="20"/>
        </w:rPr>
        <w:t xml:space="preserve">Engineering – research and development expenses for the quarter were $41 million, a decrease of $2 million from $43 million for the same period in 2025. The decrease was principally driven by reduced product initiatives spending. </w:t>
      </w:r>
    </w:p>
    <w:p>
      <w:pPr>
        <w:pStyle w:val="TextBody"/>
        <w:bidi w:val="0"/>
        <w:spacing w:before="240" w:after="0"/>
        <w:jc w:val="left"/>
        <w:rPr>
          <w:rFonts w:ascii="Times New Roman" w:hAnsi="Times New Roman"/>
          <w:sz w:val="20"/>
        </w:rPr>
      </w:pPr>
      <w:r>
        <w:rPr>
          <w:rFonts w:ascii="Times New Roman" w:hAnsi="Times New Roman"/>
          <w:sz w:val="20"/>
        </w:rPr>
        <w:t xml:space="preserve">Segment operating profit was $281 million, or 33 percent of net sales, for the second quarter. Adjusted EBITDA, a non-GAAP financial measure, was $318 million for the second quarter. Adjusted EBITDA margin for the quarter was 37 percent. </w:t>
      </w:r>
    </w:p>
    <w:p>
      <w:pPr>
        <w:pStyle w:val="TextBody"/>
        <w:bidi w:val="0"/>
        <w:spacing w:before="360" w:after="0"/>
        <w:jc w:val="left"/>
        <w:rPr>
          <w:rFonts w:ascii="Times New Roman" w:hAnsi="Times New Roman"/>
          <w:b/>
          <w:sz w:val="20"/>
        </w:rPr>
      </w:pPr>
      <w:r>
        <w:rPr>
          <w:rFonts w:ascii="Times New Roman" w:hAnsi="Times New Roman"/>
          <w:b/>
          <w:sz w:val="20"/>
        </w:rPr>
        <w:t xml:space="preserve">Allison Off-Highway Second Quarter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Net sales for the quarter were $706 million. </w:t>
      </w:r>
    </w:p>
    <w:p>
      <w:pPr>
        <w:pStyle w:val="TextBody"/>
        <w:bidi w:val="0"/>
        <w:spacing w:before="240" w:after="0"/>
        <w:jc w:val="left"/>
        <w:rPr>
          <w:rFonts w:ascii="Times New Roman" w:hAnsi="Times New Roman"/>
          <w:sz w:val="20"/>
        </w:rPr>
      </w:pPr>
      <w:r>
        <w:rPr>
          <w:rFonts w:ascii="Times New Roman" w:hAnsi="Times New Roman"/>
          <w:sz w:val="20"/>
        </w:rPr>
        <w:t xml:space="preserve">Gross profit for the quarter was $118 million, representing 17 percent of net sales.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for the quarter were $56 million. Engineering – research and development expenses for the quarter were $15 million. </w:t>
      </w:r>
    </w:p>
    <w:p>
      <w:pPr>
        <w:pStyle w:val="TextBody"/>
        <w:bidi w:val="0"/>
        <w:spacing w:before="240" w:after="0"/>
        <w:jc w:val="left"/>
        <w:rPr>
          <w:rFonts w:ascii="Times New Roman" w:hAnsi="Times New Roman"/>
          <w:sz w:val="20"/>
        </w:rPr>
      </w:pPr>
      <w:r>
        <w:rPr>
          <w:rFonts w:ascii="Times New Roman" w:hAnsi="Times New Roman"/>
          <w:sz w:val="20"/>
        </w:rPr>
        <w:t xml:space="preserve">Segment operating profit was $47 million, or 7 percent of net sales, for the second quarter. Adjusted EBITDA, a non-GAAP financial measure, was $104 million for the second quarter. Adjusted EBITDA margin for the quarter was 15 percent.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2</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Full Year 2026 Guidance Update </w:t>
      </w:r>
    </w:p>
    <w:p>
      <w:pPr>
        <w:pStyle w:val="TextBody"/>
        <w:bidi w:val="0"/>
        <w:spacing w:before="120" w:after="0"/>
        <w:jc w:val="left"/>
        <w:rPr>
          <w:rFonts w:ascii="Times New Roman" w:hAnsi="Times New Roman"/>
          <w:sz w:val="20"/>
        </w:rPr>
      </w:pPr>
      <w:r>
        <w:rPr>
          <w:rFonts w:ascii="Times New Roman" w:hAnsi="Times New Roman"/>
          <w:sz w:val="20"/>
        </w:rPr>
        <w:t xml:space="preserve">Given our second quarter results and improving conditions across our end markets, we are increasing our full year 2026 guidance provided to the market on May 4, 2026. Allison expects: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net sales in the range of $5,800 to $6,000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net income in the range of $600 to $700 million, subject to the completion of purchase price accounting associated with the acquisition of the Allison Off-Highway business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guidance includes approximately $140 million of one-time, pre-tax expenses associated with the separation, integration and restructuring of the Allison Off-Highway business unit, including approximately $75 million of expenses related to the stepped-up basis in inventory. Net income guidance also includes $50 million of additional depreciation. Including one-time costs, the Allison Off-Highway acquisition is expected to be accretive to net income and diluted EPS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adjusted EBITDA in the range of $1,465 to $1,575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net cash provided by operating activities in the range of $1,025 to $1,125 million, including approximately $55 million of one-time cash outlays associated with the acquisition of the Allison Off-Highway business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capital expenditures in the range of $260 to $280 million, including one-time separation and integration capital expenditures of approximately $30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adjusted free cash flow in the range of $745 to $865 million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3</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at 5:00 p.m. EDT on Monday, August 3, 2026 to discuss its second quarter 2026 results. The dial-in phone number for the conference call is +1-877-425-9470 and the international dial-in number is +1-201-389-0878. A live webcast of the conference call will also be available online at https://ir.allisontransmission.com. </w:t>
      </w:r>
    </w:p>
    <w:p>
      <w:pPr>
        <w:pStyle w:val="TextBody"/>
        <w:bidi w:val="0"/>
        <w:spacing w:before="240" w:after="0"/>
        <w:jc w:val="left"/>
        <w:rPr>
          <w:rFonts w:ascii="Times New Roman" w:hAnsi="Times New Roman"/>
          <w:sz w:val="20"/>
        </w:rPr>
      </w:pPr>
      <w:r>
        <w:rPr>
          <w:rFonts w:ascii="Times New Roman" w:hAnsi="Times New Roman"/>
          <w:sz w:val="20"/>
        </w:rPr>
        <w:t xml:space="preserve">For those unable to participate in the conference call, a replay will be available from 9:00 p.m. EDT on August 3 until 11:59 p.m. EDT on August 17. The replay dial-in phone number is +1-844-512-2921 and the international replay dial-in number is +1-412-317-6671. The replay passcode is 13761420. </w:t>
      </w:r>
    </w:p>
    <w:p>
      <w:pPr>
        <w:pStyle w:val="TextBody"/>
        <w:bidi w:val="0"/>
        <w:spacing w:before="360" w:after="0"/>
        <w:jc w:val="left"/>
        <w:rPr>
          <w:rFonts w:ascii="Times New Roman" w:hAnsi="Times New Roman"/>
          <w:b/>
          <w:sz w:val="20"/>
        </w:rPr>
      </w:pPr>
      <w:r>
        <w:rPr>
          <w:rFonts w:ascii="Times New Roman" w:hAnsi="Times New Roman"/>
          <w:b/>
          <w:sz w:val="20"/>
        </w:rPr>
        <w:t xml:space="preserve">About Allison </w:t>
      </w:r>
    </w:p>
    <w:p>
      <w:pPr>
        <w:pStyle w:val="TextBody"/>
        <w:bidi w:val="0"/>
        <w:spacing w:before="120" w:after="0"/>
        <w:jc w:val="left"/>
        <w:rPr>
          <w:rFonts w:ascii="Times New Roman" w:hAnsi="Times New Roman"/>
          <w:sz w:val="20"/>
        </w:rPr>
      </w:pPr>
      <w:r>
        <w:rPr>
          <w:rFonts w:ascii="Times New Roman" w:hAnsi="Times New Roman"/>
          <w:sz w:val="20"/>
        </w:rPr>
        <w:t xml:space="preserve">Allison (NYSE: ALSN) is a global leader in high-performance mobility and work solutions built for the needs of the modern industrial world. Allison operates through two business units: Allison Transmission and Allison Off-Highway Drive &amp; Motion Systems. Headquartered in Indianapolis, Indiana, USA, the Company manufactures solutions which offer industry-leading value propositions across vital sectors such as infrastructure, mining, energy, agriculture, construction, transportation and national security. For over 110 years, Allison has been recognized as a reliable partner of choice, keeping essential industries moving anytime, in over 150 countries around the world. For more information, visit https://allisontransmission.com.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significant costs we are expected to incur in connection with the integration of the Off-Highway Drive &amp; Motion Systems business of Dana Incorporated (now referred to as the “Allison Off-Highway Business”); our ability to successfully integrate the Allison Off-Highway Business and its operations in the expected time frame; our ability to realize all of the anticipated benefits from the integration of the Allison Off-Highway Business and its operations and to effectively manage our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customers;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4</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information about Allison’s financial results and forward-looking estimates of financial results that are not presented in accordance with accounting principles generally accepted in the United States (“GAAP”). Such non-GAAP financial measures are reconciled to their most directly comparable GAAP financial measures at the end of this press release. Non-GAAP financial measures should not be considered in isolation or as a substitute for our reported results prepared in accordance with GAAP and, as calculated, may not be comparable to other similarly titled measures of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We use adjusted earnings before interest, taxes, depreciation, and amortization (“EBITDA”) and adjusted EBITDA as a percent of net sales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Adjusted EBITDA margin is also used in the calculation of management’s incentive compensation program. The most directly comparable GAAP measure to adjusted EBITDA and adjusted EBITDA margin is net income or segment operating profit (loss) in the case of our segments and net income as a percent of net sales (“net income margin”) or segment operating profit (loss) as a percent of net sales in the case of our segments,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governing Allison Transmission, Inc.’s term loans and revolving credit facility. Adjusted EBITDA margin is calculated as adjusted EBITDA divided by net sales.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believe adjusted net income, adjusted basic earnings per share attributable to common stockholders (“adjusted basic EPS”) and adjusted diluted earnings per share attributable to common stockholders (“adjusted diluted EPS”) provide management, investors and creditors with useful measures of our core business performance and trends and increase the period-to-period comparability of our results of operations. The most directly comparable GAAP measure to adjusted net income, adjusted basic EPS and adjusted diluted EPS is net income, basic earnings per share attributable to common stockholders (“basic EPS”) and diluted earnings per share attributable to common stockholders (“diluted EPS”), respectively. Adjusted net income is calculated as net income excluding the effect of certain non-cash, non-recurring, infrequent or unusual items such as: amortization related to acquired intangible assets, depreciation of the stepped-up basis in property, plant and equipment related to acquired assets, stepped-up basis in acquired inventory, stock-based compensation expense, acquisition-related expenses, impairment charges, other one-off adjustments and the tax effect of the adjustments. Adjusted basic EPS is calculated by dividing adjusted net income by the weighted average shares of common stock outstanding and adjusted diluted EPS is calculated by dividing adjusted net income by the diluted weighted average shares of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cash used for additions of long-lived assets. </w:t>
      </w:r>
    </w:p>
    <w:p>
      <w:pPr>
        <w:pStyle w:val="TextBody"/>
        <w:bidi w:val="0"/>
        <w:spacing w:before="360" w:after="0"/>
        <w:jc w:val="left"/>
        <w:rPr>
          <w:rFonts w:ascii="Times New Roman" w:hAnsi="Times New Roman"/>
          <w:b/>
          <w:sz w:val="20"/>
        </w:rPr>
      </w:pPr>
      <w:r>
        <w:rPr>
          <w:rFonts w:ascii="Times New Roman" w:hAnsi="Times New Roman"/>
          <w:b/>
          <w:sz w:val="20"/>
        </w:rPr>
        <w:t xml:space="preserve">Attachments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Condensed Consolidated Statements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Condensed Consolidated Balance Sheets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Condensed Consolidated Statements of Cash 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Reconciliations of GAAP to Non-GAAP Financial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Reconciliation of GAAP to Non-GAAP Financial Measures for Full Year Guidance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Jackie Bolles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Treasury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jacalyn.bolles@allisontransmission.com </w:t>
      </w:r>
    </w:p>
    <w:p>
      <w:pPr>
        <w:pStyle w:val="TextBody"/>
        <w:bidi w:val="0"/>
        <w:spacing w:before="0" w:after="0"/>
        <w:jc w:val="left"/>
        <w:rPr>
          <w:rFonts w:ascii="Times New Roman" w:hAnsi="Times New Roman"/>
          <w:sz w:val="20"/>
        </w:rPr>
      </w:pPr>
      <w:r>
        <w:rPr>
          <w:rFonts w:ascii="Times New Roman" w:hAnsi="Times New Roman"/>
          <w:sz w:val="20"/>
        </w:rPr>
        <w:t xml:space="preserve">(317) 242-7073 </w:t>
      </w:r>
    </w:p>
    <w:p>
      <w:pPr>
        <w:pStyle w:val="TextBody"/>
        <w:bidi w:val="0"/>
        <w:spacing w:before="240" w:after="0"/>
        <w:jc w:val="left"/>
        <w:rPr>
          <w:rFonts w:ascii="Times New Roman" w:hAnsi="Times New Roman"/>
          <w:sz w:val="20"/>
        </w:rPr>
      </w:pPr>
      <w:r>
        <w:rPr>
          <w:rFonts w:ascii="Times New Roman" w:hAnsi="Times New Roman"/>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media@allisontransmission.com </w:t>
      </w:r>
    </w:p>
    <w:p>
      <w:pPr>
        <w:pStyle w:val="TextBody"/>
        <w:bidi w:val="0"/>
        <w:spacing w:before="0" w:after="0"/>
        <w:jc w:val="left"/>
        <w:rPr>
          <w:rFonts w:ascii="Times New Roman" w:hAnsi="Times New Roman"/>
          <w:sz w:val="20"/>
        </w:rPr>
      </w:pPr>
      <w:r>
        <w:rPr>
          <w:rFonts w:ascii="Times New Roman" w:hAnsi="Times New Roman"/>
          <w:sz w:val="20"/>
        </w:rPr>
        <w:t xml:space="preserve">(317) 694-2065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5</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Allison Transmission Holdings,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(Unaudited, dollars in millions,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1"/>
        <w:gridCol w:w="72"/>
        <w:gridCol w:w="186"/>
        <w:gridCol w:w="747"/>
        <w:gridCol w:w="80"/>
        <w:gridCol w:w="91"/>
        <w:gridCol w:w="186"/>
        <w:gridCol w:w="751"/>
        <w:gridCol w:w="60"/>
        <w:gridCol w:w="72"/>
        <w:gridCol w:w="307"/>
        <w:gridCol w:w="846"/>
        <w:gridCol w:w="85"/>
        <w:gridCol w:w="95"/>
        <w:gridCol w:w="199"/>
        <w:gridCol w:w="548"/>
        <w:gridCol w:w="60"/>
        <w:gridCol w:w="72"/>
        <w:gridCol w:w="245"/>
        <w:gridCol w:w="662"/>
        <w:gridCol w:w="271"/>
        <w:gridCol w:w="115"/>
        <w:gridCol w:w="245"/>
        <w:gridCol w:w="663"/>
        <w:gridCol w:w="155"/>
        <w:gridCol w:w="72"/>
        <w:gridCol w:w="140"/>
        <w:gridCol w:w="563"/>
        <w:gridCol w:w="154"/>
        <w:gridCol w:w="72"/>
        <w:gridCol w:w="140"/>
        <w:gridCol w:w="563"/>
        <w:gridCol w:w="167"/>
      </w:tblGrid>
      <w:tr>
        <w:trPr/>
        <w:tc>
          <w:tcPr>
            <w:tcW w:w="1521"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2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041" w:type="dxa"/>
            <w:gridSpan w:val="6"/>
            <w:tcBorders>
              <w:bottom w:val="single" w:sz="8" w:space="0" w:color="000000"/>
            </w:tcBorders>
            <w:tcMar>
              <w:bottom w:w="28" w:type="dxa"/>
            </w:tcMar>
            <w:vAlign w:val="bottom"/>
          </w:tcPr>
          <w:p>
            <w:pPr>
              <w:pStyle w:val="TableContents"/>
              <w:bidi w:val="0"/>
              <w:spacing w:before="0" w:after="283"/>
              <w:jc w:val="center"/>
              <w:rPr/>
            </w:pPr>
            <w:r>
              <w:rPr/>
              <w:t>Allison Transmission</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bottom"/>
          </w:tcPr>
          <w:p>
            <w:pPr>
              <w:pStyle w:val="TableContents"/>
              <w:bidi w:val="0"/>
              <w:spacing w:before="0" w:after="283"/>
              <w:jc w:val="center"/>
              <w:rPr/>
            </w:pPr>
            <w:r>
              <w:rPr/>
              <w:t>Allison Off-Highway</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01" w:type="dxa"/>
            <w:gridSpan w:val="6"/>
            <w:tcBorders>
              <w:bottom w:val="single" w:sz="8" w:space="0" w:color="000000"/>
            </w:tcBorders>
            <w:tcMar>
              <w:bottom w:w="28" w:type="dxa"/>
            </w:tcMar>
            <w:vAlign w:val="bottom"/>
          </w:tcPr>
          <w:p>
            <w:pPr>
              <w:pStyle w:val="TableContents"/>
              <w:bidi w:val="0"/>
              <w:spacing w:before="0" w:after="283"/>
              <w:jc w:val="center"/>
              <w:rPr/>
            </w:pPr>
            <w:r>
              <w:rPr/>
              <w:t>Central Group Funtion</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2" w:type="dxa"/>
            <w:gridSpan w:val="6"/>
            <w:tcBorders>
              <w:bottom w:val="single" w:sz="8" w:space="0" w:color="000000"/>
            </w:tcBorders>
            <w:tcMar>
              <w:bottom w:w="28" w:type="dxa"/>
            </w:tcMar>
            <w:vAlign w:val="bottom"/>
          </w:tcPr>
          <w:p>
            <w:pPr>
              <w:pStyle w:val="TableContents"/>
              <w:bidi w:val="0"/>
              <w:spacing w:before="0" w:after="283"/>
              <w:jc w:val="center"/>
              <w:rPr/>
            </w:pPr>
            <w:r>
              <w:rPr/>
              <w:t>Consolidated</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041"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Three months ended</w:t>
            </w:r>
          </w:p>
          <w:p>
            <w:pPr>
              <w:pStyle w:val="TableContents"/>
              <w:bidi w:val="0"/>
              <w:spacing w:before="0" w:after="20"/>
              <w:jc w:val="center"/>
              <w:rPr>
                <w:rFonts w:ascii="Times New Roman" w:hAnsi="Times New Roman"/>
                <w:sz w:val="16"/>
              </w:rPr>
            </w:pPr>
            <w:r>
              <w:rPr>
                <w:rFonts w:ascii="Times New Roman" w:hAnsi="Times New Roman"/>
                <w:sz w:val="16"/>
              </w:rPr>
              <w:t>June 30,</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080"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Three months ended</w:t>
            </w:r>
          </w:p>
          <w:p>
            <w:pPr>
              <w:pStyle w:val="TableContents"/>
              <w:bidi w:val="0"/>
              <w:spacing w:before="0" w:after="20"/>
              <w:jc w:val="center"/>
              <w:rPr>
                <w:rFonts w:ascii="Times New Roman" w:hAnsi="Times New Roman"/>
                <w:sz w:val="16"/>
              </w:rPr>
            </w:pPr>
            <w:r>
              <w:rPr>
                <w:rFonts w:ascii="Times New Roman" w:hAnsi="Times New Roman"/>
                <w:sz w:val="16"/>
              </w:rPr>
              <w:t>June 30,</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01"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Three months ended</w:t>
            </w:r>
          </w:p>
          <w:p>
            <w:pPr>
              <w:pStyle w:val="TableContents"/>
              <w:bidi w:val="0"/>
              <w:spacing w:before="0" w:after="20"/>
              <w:jc w:val="center"/>
              <w:rPr>
                <w:rFonts w:ascii="Times New Roman" w:hAnsi="Times New Roman"/>
                <w:sz w:val="16"/>
              </w:rPr>
            </w:pPr>
            <w:r>
              <w:rPr>
                <w:rFonts w:ascii="Times New Roman" w:hAnsi="Times New Roman"/>
                <w:sz w:val="16"/>
              </w:rPr>
              <w:t>June 30,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2"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Three months ended</w:t>
            </w:r>
          </w:p>
          <w:p>
            <w:pPr>
              <w:pStyle w:val="TableContents"/>
              <w:bidi w:val="0"/>
              <w:spacing w:before="0" w:after="20"/>
              <w:jc w:val="center"/>
              <w:rPr>
                <w:rFonts w:ascii="Times New Roman" w:hAnsi="Times New Roman"/>
                <w:sz w:val="16"/>
              </w:rPr>
            </w:pPr>
            <w:r>
              <w:rPr>
                <w:rFonts w:ascii="Times New Roman" w:hAnsi="Times New Roman"/>
                <w:sz w:val="16"/>
              </w:rPr>
              <w:t>June 30,</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8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7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7"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860</w:t>
            </w:r>
          </w:p>
        </w:tc>
        <w:tc>
          <w:tcPr>
            <w:tcW w:w="8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814</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706</w:t>
            </w:r>
          </w:p>
        </w:tc>
        <w:tc>
          <w:tcPr>
            <w:tcW w:w="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662" w:type="dxa"/>
            <w:tcBorders/>
            <w:shd w:fill="CCEEFF" w:val="cle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1,566</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814</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463</w:t>
            </w:r>
          </w:p>
        </w:tc>
        <w:tc>
          <w:tcPr>
            <w:tcW w:w="8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411</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588</w:t>
            </w:r>
          </w:p>
        </w:tc>
        <w:tc>
          <w:tcPr>
            <w:tcW w:w="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27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1,051</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411</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662"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397</w:t>
            </w:r>
          </w:p>
        </w:tc>
        <w:tc>
          <w:tcPr>
            <w:tcW w:w="8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403</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118</w:t>
            </w:r>
          </w:p>
        </w:tc>
        <w:tc>
          <w:tcPr>
            <w:tcW w:w="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515</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403</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75</w:t>
            </w:r>
          </w:p>
        </w:tc>
        <w:tc>
          <w:tcPr>
            <w:tcW w:w="8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56</w:t>
            </w:r>
          </w:p>
        </w:tc>
        <w:tc>
          <w:tcPr>
            <w:tcW w:w="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37</w:t>
            </w:r>
          </w:p>
        </w:tc>
        <w:tc>
          <w:tcPr>
            <w:tcW w:w="27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168</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104</w:t>
            </w:r>
          </w:p>
        </w:tc>
        <w:tc>
          <w:tcPr>
            <w:tcW w:w="167"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Engineering - research and development</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41</w:t>
            </w:r>
          </w:p>
        </w:tc>
        <w:tc>
          <w:tcPr>
            <w:tcW w:w="8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43</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15</w:t>
            </w:r>
          </w:p>
        </w:tc>
        <w:tc>
          <w:tcPr>
            <w:tcW w:w="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56</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43</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662"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281</w:t>
            </w:r>
          </w:p>
        </w:tc>
        <w:tc>
          <w:tcPr>
            <w:tcW w:w="8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288</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w:t>
            </w:r>
          </w:p>
        </w:tc>
        <w:tc>
          <w:tcPr>
            <w:tcW w:w="846" w:type="dxa"/>
            <w:tcBorders/>
            <w:vAlign w:val="bottom"/>
          </w:tcPr>
          <w:p>
            <w:pPr>
              <w:pStyle w:val="TableContents"/>
              <w:bidi w:val="0"/>
              <w:spacing w:before="0" w:after="283"/>
              <w:jc w:val="right"/>
              <w:rPr/>
            </w:pPr>
            <w:r>
              <w:rPr/>
              <w:t>47</w:t>
            </w:r>
          </w:p>
        </w:tc>
        <w:tc>
          <w:tcPr>
            <w:tcW w:w="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5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662" w:type="dxa"/>
            <w:tcBorders/>
            <w:vAlign w:val="bottom"/>
          </w:tcPr>
          <w:p>
            <w:pPr>
              <w:pStyle w:val="TableContents"/>
              <w:bidi w:val="0"/>
              <w:spacing w:before="0" w:after="283"/>
              <w:jc w:val="right"/>
              <w:rPr/>
            </w:pPr>
            <w:r>
              <w:rPr/>
              <w:t>(37</w:t>
            </w:r>
          </w:p>
        </w:tc>
        <w:tc>
          <w:tcPr>
            <w:tcW w:w="27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291</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256</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5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662"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(54</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228</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242</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(47</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(47</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181</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195</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share attributable to common stockholders</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2.18</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2.32</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share attributable to common stockholders</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2.15</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2.29</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rHeight w:val="240" w:hRule="atLeast"/>
        </w:trPr>
        <w:tc>
          <w:tcPr>
            <w:tcW w:w="1521" w:type="dxa"/>
            <w:tcBorders/>
            <w:vAlign w:val="center"/>
          </w:tcPr>
          <w:p>
            <w:pPr>
              <w:pStyle w:val="TableContents"/>
              <w:bidi w:val="0"/>
              <w:spacing w:before="0" w:after="283"/>
              <w:jc w:val="left"/>
              <w:rPr>
                <w:sz w:val="4"/>
                <w:szCs w:val="4"/>
              </w:rPr>
            </w:pPr>
            <w:r>
              <w:rPr>
                <w:sz w:val="4"/>
                <w:szCs w:val="4"/>
              </w:rPr>
            </w:r>
          </w:p>
        </w:tc>
        <w:tc>
          <w:tcPr>
            <w:tcW w:w="2173" w:type="dxa"/>
            <w:gridSpan w:val="8"/>
            <w:tcBorders/>
            <w:vAlign w:val="center"/>
          </w:tcPr>
          <w:p>
            <w:pPr>
              <w:pStyle w:val="TableContents"/>
              <w:bidi w:val="0"/>
              <w:spacing w:before="0" w:after="283"/>
              <w:jc w:val="left"/>
              <w:rPr>
                <w:sz w:val="4"/>
                <w:szCs w:val="4"/>
              </w:rPr>
            </w:pPr>
            <w:r>
              <w:rPr>
                <w:sz w:val="4"/>
                <w:szCs w:val="4"/>
              </w:rPr>
            </w:r>
          </w:p>
        </w:tc>
        <w:tc>
          <w:tcPr>
            <w:tcW w:w="2212" w:type="dxa"/>
            <w:gridSpan w:val="8"/>
            <w:tcBorders/>
            <w:vAlign w:val="center"/>
          </w:tcPr>
          <w:p>
            <w:pPr>
              <w:pStyle w:val="TableContents"/>
              <w:bidi w:val="0"/>
              <w:spacing w:before="0" w:after="283"/>
              <w:jc w:val="left"/>
              <w:rPr>
                <w:sz w:val="4"/>
                <w:szCs w:val="4"/>
              </w:rPr>
            </w:pPr>
            <w:r>
              <w:rPr>
                <w:sz w:val="4"/>
                <w:szCs w:val="4"/>
              </w:rPr>
            </w:r>
          </w:p>
        </w:tc>
        <w:tc>
          <w:tcPr>
            <w:tcW w:w="2428" w:type="dxa"/>
            <w:gridSpan w:val="8"/>
            <w:tcBorders/>
            <w:vAlign w:val="center"/>
          </w:tcPr>
          <w:p>
            <w:pPr>
              <w:pStyle w:val="TableContents"/>
              <w:bidi w:val="0"/>
              <w:spacing w:before="0" w:after="283"/>
              <w:jc w:val="left"/>
              <w:rPr>
                <w:sz w:val="4"/>
                <w:szCs w:val="4"/>
              </w:rPr>
            </w:pPr>
            <w:r>
              <w:rPr>
                <w:sz w:val="4"/>
                <w:szCs w:val="4"/>
              </w:rPr>
            </w:r>
          </w:p>
        </w:tc>
        <w:tc>
          <w:tcPr>
            <w:tcW w:w="1871" w:type="dxa"/>
            <w:gridSpan w:val="8"/>
            <w:tcBorders/>
            <w:vAlign w:val="center"/>
          </w:tcPr>
          <w:p>
            <w:pPr>
              <w:pStyle w:val="TableContents"/>
              <w:bidi w:val="0"/>
              <w:spacing w:before="0" w:after="283"/>
              <w:jc w:val="left"/>
              <w:rPr>
                <w:sz w:val="4"/>
                <w:szCs w:val="4"/>
              </w:rPr>
            </w:pPr>
            <w:r>
              <w:rPr>
                <w:sz w:val="4"/>
                <w:szCs w:val="4"/>
              </w:rPr>
            </w:r>
          </w:p>
        </w:tc>
      </w:tr>
      <w:tr>
        <w:trPr/>
        <w:tc>
          <w:tcPr>
            <w:tcW w:w="152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041" w:type="dxa"/>
            <w:gridSpan w:val="6"/>
            <w:tcBorders>
              <w:bottom w:val="single" w:sz="8" w:space="0" w:color="000000"/>
            </w:tcBorders>
            <w:tcMar>
              <w:bottom w:w="28" w:type="dxa"/>
            </w:tcMar>
            <w:vAlign w:val="bottom"/>
          </w:tcPr>
          <w:p>
            <w:pPr>
              <w:pStyle w:val="TableContents"/>
              <w:bidi w:val="0"/>
              <w:spacing w:before="0" w:after="283"/>
              <w:jc w:val="center"/>
              <w:rPr/>
            </w:pPr>
            <w:r>
              <w:rPr/>
              <w:t>Allison Transmission</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bottom"/>
          </w:tcPr>
          <w:p>
            <w:pPr>
              <w:pStyle w:val="TableContents"/>
              <w:bidi w:val="0"/>
              <w:spacing w:before="0" w:after="283"/>
              <w:jc w:val="center"/>
              <w:rPr/>
            </w:pPr>
            <w:r>
              <w:rPr/>
              <w:t>Allison Off-Highway</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01" w:type="dxa"/>
            <w:gridSpan w:val="6"/>
            <w:tcBorders>
              <w:bottom w:val="single" w:sz="8" w:space="0" w:color="000000"/>
            </w:tcBorders>
            <w:tcMar>
              <w:bottom w:w="28" w:type="dxa"/>
            </w:tcMar>
            <w:vAlign w:val="bottom"/>
          </w:tcPr>
          <w:p>
            <w:pPr>
              <w:pStyle w:val="TableContents"/>
              <w:bidi w:val="0"/>
              <w:spacing w:before="0" w:after="283"/>
              <w:jc w:val="center"/>
              <w:rPr/>
            </w:pPr>
            <w:r>
              <w:rPr/>
              <w:t>Central Group Funtion</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2" w:type="dxa"/>
            <w:gridSpan w:val="6"/>
            <w:tcBorders>
              <w:bottom w:val="single" w:sz="8" w:space="0" w:color="000000"/>
            </w:tcBorders>
            <w:tcMar>
              <w:bottom w:w="28" w:type="dxa"/>
            </w:tcMar>
            <w:vAlign w:val="bottom"/>
          </w:tcPr>
          <w:p>
            <w:pPr>
              <w:pStyle w:val="TableContents"/>
              <w:bidi w:val="0"/>
              <w:spacing w:before="0" w:after="283"/>
              <w:jc w:val="center"/>
              <w:rPr/>
            </w:pPr>
            <w:r>
              <w:rPr/>
              <w:t>Consolidated</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041"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Six months ended</w:t>
            </w:r>
          </w:p>
          <w:p>
            <w:pPr>
              <w:pStyle w:val="TableContents"/>
              <w:bidi w:val="0"/>
              <w:spacing w:before="0" w:after="20"/>
              <w:jc w:val="center"/>
              <w:rPr>
                <w:rFonts w:ascii="Times New Roman" w:hAnsi="Times New Roman"/>
                <w:sz w:val="16"/>
              </w:rPr>
            </w:pPr>
            <w:r>
              <w:rPr>
                <w:rFonts w:ascii="Times New Roman" w:hAnsi="Times New Roman"/>
                <w:sz w:val="16"/>
              </w:rPr>
              <w:t>June 30,</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080"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Six months ended</w:t>
            </w:r>
          </w:p>
          <w:p>
            <w:pPr>
              <w:pStyle w:val="TableContents"/>
              <w:bidi w:val="0"/>
              <w:spacing w:before="0" w:after="20"/>
              <w:jc w:val="center"/>
              <w:rPr>
                <w:rFonts w:ascii="Times New Roman" w:hAnsi="Times New Roman"/>
                <w:sz w:val="16"/>
              </w:rPr>
            </w:pPr>
            <w:r>
              <w:rPr>
                <w:rFonts w:ascii="Times New Roman" w:hAnsi="Times New Roman"/>
                <w:sz w:val="16"/>
              </w:rPr>
              <w:t>June 30,</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01" w:type="dxa"/>
            <w:gridSpan w:val="6"/>
            <w:tcBorders/>
            <w:vAlign w:val="bottom"/>
          </w:tcPr>
          <w:p>
            <w:pPr>
              <w:pStyle w:val="TableContents"/>
              <w:bidi w:val="0"/>
              <w:spacing w:before="0" w:after="283"/>
              <w:jc w:val="center"/>
              <w:rPr/>
            </w:pPr>
            <w:r>
              <w:rPr/>
              <w:t>Six months ended June 30,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2"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Six months ended</w:t>
            </w:r>
          </w:p>
          <w:p>
            <w:pPr>
              <w:pStyle w:val="TableContents"/>
              <w:bidi w:val="0"/>
              <w:spacing w:before="0" w:after="20"/>
              <w:jc w:val="center"/>
              <w:rPr>
                <w:rFonts w:ascii="Times New Roman" w:hAnsi="Times New Roman"/>
                <w:sz w:val="16"/>
              </w:rPr>
            </w:pPr>
            <w:r>
              <w:rPr>
                <w:rFonts w:ascii="Times New Roman" w:hAnsi="Times New Roman"/>
                <w:sz w:val="16"/>
              </w:rPr>
              <w:t>June 30,</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8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7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7"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1,593</w:t>
            </w:r>
          </w:p>
        </w:tc>
        <w:tc>
          <w:tcPr>
            <w:tcW w:w="8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1,580</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1,379</w:t>
            </w:r>
          </w:p>
        </w:tc>
        <w:tc>
          <w:tcPr>
            <w:tcW w:w="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662" w:type="dxa"/>
            <w:tcBorders/>
            <w:shd w:fill="CCEEFF" w:val="cle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2,972</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1,580</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840</w:t>
            </w:r>
          </w:p>
        </w:tc>
        <w:tc>
          <w:tcPr>
            <w:tcW w:w="8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799</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1,211</w:t>
            </w:r>
          </w:p>
        </w:tc>
        <w:tc>
          <w:tcPr>
            <w:tcW w:w="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27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2,051</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799</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662"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753</w:t>
            </w:r>
          </w:p>
        </w:tc>
        <w:tc>
          <w:tcPr>
            <w:tcW w:w="8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781</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168</w:t>
            </w:r>
          </w:p>
        </w:tc>
        <w:tc>
          <w:tcPr>
            <w:tcW w:w="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921</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781</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140</w:t>
            </w:r>
          </w:p>
        </w:tc>
        <w:tc>
          <w:tcPr>
            <w:tcW w:w="8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137</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112</w:t>
            </w:r>
          </w:p>
        </w:tc>
        <w:tc>
          <w:tcPr>
            <w:tcW w:w="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73</w:t>
            </w:r>
          </w:p>
        </w:tc>
        <w:tc>
          <w:tcPr>
            <w:tcW w:w="27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325</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191</w:t>
            </w:r>
          </w:p>
        </w:tc>
        <w:tc>
          <w:tcPr>
            <w:tcW w:w="167"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Engineering - research and development</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80</w:t>
            </w:r>
          </w:p>
        </w:tc>
        <w:tc>
          <w:tcPr>
            <w:tcW w:w="8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30</w:t>
            </w:r>
          </w:p>
        </w:tc>
        <w:tc>
          <w:tcPr>
            <w:tcW w:w="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110</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85</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662"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533</w:t>
            </w:r>
          </w:p>
        </w:tc>
        <w:tc>
          <w:tcPr>
            <w:tcW w:w="8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559</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w:t>
            </w:r>
          </w:p>
        </w:tc>
        <w:tc>
          <w:tcPr>
            <w:tcW w:w="846" w:type="dxa"/>
            <w:tcBorders/>
            <w:vAlign w:val="bottom"/>
          </w:tcPr>
          <w:p>
            <w:pPr>
              <w:pStyle w:val="TableContents"/>
              <w:bidi w:val="0"/>
              <w:spacing w:before="0" w:after="283"/>
              <w:jc w:val="right"/>
              <w:rPr/>
            </w:pPr>
            <w:r>
              <w:rPr/>
              <w:t>26</w:t>
            </w:r>
          </w:p>
        </w:tc>
        <w:tc>
          <w:tcPr>
            <w:tcW w:w="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5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662" w:type="dxa"/>
            <w:tcBorders/>
            <w:vAlign w:val="bottom"/>
          </w:tcPr>
          <w:p>
            <w:pPr>
              <w:pStyle w:val="TableContents"/>
              <w:bidi w:val="0"/>
              <w:spacing w:before="0" w:after="283"/>
              <w:jc w:val="right"/>
              <w:rPr/>
            </w:pPr>
            <w:r>
              <w:rPr/>
              <w:t>(73</w:t>
            </w:r>
          </w:p>
        </w:tc>
        <w:tc>
          <w:tcPr>
            <w:tcW w:w="27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486</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505</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5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662"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(115</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(43</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(11</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360</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475</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(67</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(88</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293</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387</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share attributable to common stockholders</w:t>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3.53</w:t>
            </w:r>
          </w:p>
        </w:tc>
        <w:tc>
          <w:tcPr>
            <w:tcW w:w="15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4.55</w:t>
            </w:r>
          </w:p>
        </w:tc>
        <w:tc>
          <w:tcPr>
            <w:tcW w:w="167"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share attributable to common stockholders</w:t>
            </w:r>
          </w:p>
        </w:tc>
        <w:tc>
          <w:tcPr>
            <w:tcW w:w="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3.49</w:t>
            </w:r>
          </w:p>
        </w:tc>
        <w:tc>
          <w:tcPr>
            <w:tcW w:w="15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4.50</w:t>
            </w:r>
          </w:p>
        </w:tc>
        <w:tc>
          <w:tcPr>
            <w:tcW w:w="167" w:type="dxa"/>
            <w:tcBorders/>
            <w:shd w:fill="CCEEFF" w:val="clear"/>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6</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Allison Transmission Holdings,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(Unaudited, 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57"/>
        <w:gridCol w:w="271"/>
        <w:gridCol w:w="163"/>
        <w:gridCol w:w="663"/>
        <w:gridCol w:w="60"/>
        <w:gridCol w:w="271"/>
        <w:gridCol w:w="271"/>
        <w:gridCol w:w="1085"/>
        <w:gridCol w:w="64"/>
      </w:tblGrid>
      <w:tr>
        <w:trPr/>
        <w:tc>
          <w:tcPr>
            <w:tcW w:w="7357"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3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pPr>
            <w:r>
              <w:rPr/>
              <w:t>June 30,</w:t>
              <w:br/>
              <w:t>2026</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399</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1,495</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911</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333</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840</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316</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239</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735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2,389</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2,233</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1,660</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862</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1,607</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794</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2,812</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2,075</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249</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118</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8,717</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6,082</w:t>
            </w:r>
          </w:p>
        </w:tc>
        <w:tc>
          <w:tcPr>
            <w:tcW w:w="64" w:type="dxa"/>
            <w:tcBorders/>
            <w:vAlign w:val="bottom"/>
          </w:tcPr>
          <w:p>
            <w:pPr>
              <w:pStyle w:val="TableContents"/>
              <w:bidi w:val="0"/>
              <w:spacing w:before="0" w:after="283"/>
              <w:jc w:val="left"/>
              <w:rPr/>
            </w:pPr>
            <w:r>
              <w:rPr/>
              <w:t> </w:t>
            </w:r>
          </w:p>
        </w:tc>
      </w:tr>
      <w:tr>
        <w:trPr/>
        <w:tc>
          <w:tcPr>
            <w:tcW w:w="735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806</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190</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Product warranty liability</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5</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358</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197</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1,322</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460</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warranty liability</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50</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4,094</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2,885</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839</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557</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315</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160</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6,738</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4,215</w:t>
            </w:r>
          </w:p>
        </w:tc>
        <w:tc>
          <w:tcPr>
            <w:tcW w:w="64" w:type="dxa"/>
            <w:tcBorders/>
            <w:vAlign w:val="bottom"/>
          </w:tcPr>
          <w:p>
            <w:pPr>
              <w:pStyle w:val="TableContents"/>
              <w:bidi w:val="0"/>
              <w:spacing w:before="0" w:after="283"/>
              <w:jc w:val="left"/>
              <w:rPr/>
            </w:pPr>
            <w:r>
              <w:rPr/>
              <w:t> </w:t>
            </w:r>
          </w:p>
        </w:tc>
      </w:tr>
      <w:tr>
        <w:trPr/>
        <w:tc>
          <w:tcPr>
            <w:tcW w:w="7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7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1,979</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1,867</w:t>
            </w:r>
          </w:p>
        </w:tc>
        <w:tc>
          <w:tcPr>
            <w:tcW w:w="64" w:type="dxa"/>
            <w:tcBorders/>
            <w:shd w:fill="CCEEFF" w:val="clear"/>
            <w:vAlign w:val="bottom"/>
          </w:tcPr>
          <w:p>
            <w:pPr>
              <w:pStyle w:val="TableContents"/>
              <w:bidi w:val="0"/>
              <w:spacing w:before="0" w:after="283"/>
              <w:jc w:val="left"/>
              <w:rPr/>
            </w:pPr>
            <w:r>
              <w:rPr/>
              <w:t> </w:t>
            </w:r>
          </w:p>
        </w:tc>
      </w:tr>
      <w:tr>
        <w:trPr/>
        <w:tc>
          <w:tcPr>
            <w:tcW w:w="735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5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&amp; STOCKHOLDERS’ EQUITY</w:t>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8,717</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6,082</w:t>
            </w:r>
          </w:p>
        </w:tc>
        <w:tc>
          <w:tcPr>
            <w:tcW w:w="64" w:type="dxa"/>
            <w:tcBorders/>
            <w:vAlign w:val="bottom"/>
          </w:tcPr>
          <w:p>
            <w:pPr>
              <w:pStyle w:val="TableContents"/>
              <w:bidi w:val="0"/>
              <w:spacing w:before="0" w:after="283"/>
              <w:jc w:val="left"/>
              <w:rPr/>
            </w:pPr>
            <w:r>
              <w:rPr/>
              <w:t> </w:t>
            </w:r>
          </w:p>
        </w:tc>
      </w:tr>
      <w:tr>
        <w:trPr/>
        <w:tc>
          <w:tcPr>
            <w:tcW w:w="735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7</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Allison Transmission Holdings,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(Unaudited, 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23"/>
        <w:gridCol w:w="223"/>
        <w:gridCol w:w="194"/>
        <w:gridCol w:w="671"/>
        <w:gridCol w:w="215"/>
        <w:gridCol w:w="190"/>
        <w:gridCol w:w="194"/>
        <w:gridCol w:w="674"/>
        <w:gridCol w:w="155"/>
        <w:gridCol w:w="170"/>
        <w:gridCol w:w="140"/>
        <w:gridCol w:w="673"/>
        <w:gridCol w:w="155"/>
        <w:gridCol w:w="169"/>
        <w:gridCol w:w="140"/>
        <w:gridCol w:w="456"/>
        <w:gridCol w:w="163"/>
      </w:tblGrid>
      <w:tr>
        <w:trPr/>
        <w:tc>
          <w:tcPr>
            <w:tcW w:w="5623"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2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38" w:type="dxa"/>
            <w:gridSpan w:val="6"/>
            <w:tcBorders/>
            <w:vAlign w:val="bottom"/>
          </w:tcPr>
          <w:p>
            <w:pPr>
              <w:pStyle w:val="TableContents"/>
              <w:bidi w:val="0"/>
              <w:spacing w:before="0" w:after="283"/>
              <w:jc w:val="center"/>
              <w:rPr/>
            </w:pPr>
            <w:r>
              <w:rPr/>
              <w:t>Three months ended</w:t>
              <w:br/>
              <w:t>June 30,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33"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Six months ended</w:t>
            </w:r>
          </w:p>
          <w:p>
            <w:pPr>
              <w:pStyle w:val="TableContents"/>
              <w:bidi w:val="0"/>
              <w:spacing w:before="0" w:after="20"/>
              <w:jc w:val="center"/>
              <w:rPr>
                <w:rFonts w:ascii="Times New Roman" w:hAnsi="Times New Roman"/>
                <w:sz w:val="16"/>
              </w:rPr>
            </w:pPr>
            <w:r>
              <w:rPr>
                <w:rFonts w:ascii="Times New Roman" w:hAnsi="Times New Roman"/>
                <w:sz w:val="16"/>
              </w:rPr>
              <w:t>June 30,</w:t>
            </w:r>
          </w:p>
        </w:tc>
        <w:tc>
          <w:tcPr>
            <w:tcW w:w="163" w:type="dxa"/>
            <w:tcBorders/>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1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3" w:type="dxa"/>
            <w:tcBorders/>
            <w:vAlign w:val="bottom"/>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2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1" w:type="dxa"/>
            <w:tcBorders/>
            <w:shd w:fill="CCEEFF" w:val="clear"/>
            <w:vAlign w:val="bottom"/>
          </w:tcPr>
          <w:p>
            <w:pPr>
              <w:pStyle w:val="TableContents"/>
              <w:bidi w:val="0"/>
              <w:spacing w:before="0" w:after="283"/>
              <w:jc w:val="right"/>
              <w:rPr/>
            </w:pPr>
            <w:r>
              <w:rPr/>
              <w:t>312</w:t>
            </w:r>
          </w:p>
        </w:tc>
        <w:tc>
          <w:tcPr>
            <w:tcW w:w="21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184</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468</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365</w:t>
            </w:r>
          </w:p>
        </w:tc>
        <w:tc>
          <w:tcPr>
            <w:tcW w:w="163"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for investing activities (a) (b)</w:t>
            </w:r>
          </w:p>
        </w:tc>
        <w:tc>
          <w:tcPr>
            <w:tcW w:w="22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(2,616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(59</w:t>
            </w:r>
          </w:p>
        </w:tc>
        <w:tc>
          <w:tcPr>
            <w:tcW w:w="163" w:type="dxa"/>
            <w:tcBorders/>
            <w:vAlign w:val="bottom"/>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for) provided by financing activities</w:t>
            </w:r>
          </w:p>
        </w:tc>
        <w:tc>
          <w:tcPr>
            <w:tcW w:w="22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(224</w:t>
            </w:r>
          </w:p>
        </w:tc>
        <w:tc>
          <w:tcPr>
            <w:tcW w:w="21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(132</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1,056</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right"/>
              <w:rPr/>
            </w:pPr>
            <w:r>
              <w:rPr/>
              <w:t>(316</w:t>
            </w:r>
          </w:p>
        </w:tc>
        <w:tc>
          <w:tcPr>
            <w:tcW w:w="163"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22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7</w:t>
            </w:r>
          </w:p>
        </w:tc>
        <w:tc>
          <w:tcPr>
            <w:tcW w:w="163" w:type="dxa"/>
            <w:tcBorders/>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2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88</w:t>
            </w:r>
          </w:p>
        </w:tc>
        <w:tc>
          <w:tcPr>
            <w:tcW w:w="21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(1,096</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right"/>
              <w:rPr/>
            </w:pPr>
            <w:r>
              <w:rPr/>
              <w:t>(3</w:t>
            </w:r>
          </w:p>
        </w:tc>
        <w:tc>
          <w:tcPr>
            <w:tcW w:w="163"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22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311</w:t>
            </w:r>
          </w:p>
        </w:tc>
        <w:tc>
          <w:tcPr>
            <w:tcW w:w="21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753</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1,495</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781</w:t>
            </w:r>
          </w:p>
        </w:tc>
        <w:tc>
          <w:tcPr>
            <w:tcW w:w="163" w:type="dxa"/>
            <w:tcBorders/>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22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1" w:type="dxa"/>
            <w:tcBorders/>
            <w:shd w:fill="CCEEFF" w:val="clear"/>
            <w:vAlign w:val="bottom"/>
          </w:tcPr>
          <w:p>
            <w:pPr>
              <w:pStyle w:val="TableContents"/>
              <w:bidi w:val="0"/>
              <w:spacing w:before="0" w:after="283"/>
              <w:jc w:val="right"/>
              <w:rPr/>
            </w:pPr>
            <w:r>
              <w:rPr/>
              <w:t>399</w:t>
            </w:r>
          </w:p>
        </w:tc>
        <w:tc>
          <w:tcPr>
            <w:tcW w:w="21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778</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399</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778</w:t>
            </w:r>
          </w:p>
        </w:tc>
        <w:tc>
          <w:tcPr>
            <w:tcW w:w="163" w:type="dxa"/>
            <w:tcBorders/>
            <w:shd w:fill="CCEEFF" w:val="clear"/>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671"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6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disclosures:</w:t>
            </w:r>
          </w:p>
        </w:tc>
        <w:tc>
          <w:tcPr>
            <w:tcW w:w="22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22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1" w:type="dxa"/>
            <w:tcBorders/>
            <w:shd w:fill="CCEEFF" w:val="clear"/>
            <w:vAlign w:val="bottom"/>
          </w:tcPr>
          <w:p>
            <w:pPr>
              <w:pStyle w:val="TableContents"/>
              <w:bidi w:val="0"/>
              <w:spacing w:before="0" w:after="283"/>
              <w:jc w:val="right"/>
              <w:rPr/>
            </w:pPr>
            <w:r>
              <w:rPr/>
              <w:t>(66</w:t>
            </w:r>
          </w:p>
        </w:tc>
        <w:tc>
          <w:tcPr>
            <w:tcW w:w="21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(107</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(60</w:t>
            </w:r>
          </w:p>
        </w:tc>
        <w:tc>
          <w:tcPr>
            <w:tcW w:w="163"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22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(84</w:t>
            </w:r>
          </w:p>
        </w:tc>
        <w:tc>
          <w:tcPr>
            <w:tcW w:w="21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674" w:type="dxa"/>
            <w:tcBorders/>
            <w:vAlign w:val="bottom"/>
          </w:tcPr>
          <w:p>
            <w:pPr>
              <w:pStyle w:val="TableContents"/>
              <w:bidi w:val="0"/>
              <w:spacing w:before="0" w:after="283"/>
              <w:jc w:val="right"/>
              <w:rPr/>
            </w:pPr>
            <w:r>
              <w:rPr/>
              <w:t>(93</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6" w:type="dxa"/>
            <w:tcBorders/>
            <w:vAlign w:val="bottom"/>
          </w:tcPr>
          <w:p>
            <w:pPr>
              <w:pStyle w:val="TableContents"/>
              <w:bidi w:val="0"/>
              <w:spacing w:before="0" w:after="283"/>
              <w:jc w:val="right"/>
              <w:rPr/>
            </w:pPr>
            <w:r>
              <w:rPr/>
              <w:t>(95</w:t>
            </w:r>
          </w:p>
        </w:tc>
        <w:tc>
          <w:tcPr>
            <w:tcW w:w="163" w:type="dxa"/>
            <w:tcBorders/>
            <w:vAlign w:val="bottom"/>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received from interest rate swaps</w:t>
            </w:r>
          </w:p>
        </w:tc>
        <w:tc>
          <w:tcPr>
            <w:tcW w:w="22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4</w:t>
            </w:r>
          </w:p>
        </w:tc>
        <w:tc>
          <w:tcPr>
            <w:tcW w:w="163"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(a) Business acquisition, net of cash acquired</w:t>
            </w:r>
          </w:p>
        </w:tc>
        <w:tc>
          <w:tcPr>
            <w:tcW w:w="22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34</w:t>
            </w:r>
          </w:p>
        </w:tc>
        <w:tc>
          <w:tcPr>
            <w:tcW w:w="21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(2,529</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Additions of long-lived assets</w:t>
            </w:r>
          </w:p>
        </w:tc>
        <w:tc>
          <w:tcPr>
            <w:tcW w:w="22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1" w:type="dxa"/>
            <w:tcBorders/>
            <w:shd w:fill="CCEEFF" w:val="clear"/>
            <w:vAlign w:val="bottom"/>
          </w:tcPr>
          <w:p>
            <w:pPr>
              <w:pStyle w:val="TableContents"/>
              <w:bidi w:val="0"/>
              <w:spacing w:before="0" w:after="283"/>
              <w:jc w:val="right"/>
              <w:rPr/>
            </w:pPr>
            <w:r>
              <w:rPr/>
              <w:t>(31</w:t>
            </w:r>
          </w:p>
        </w:tc>
        <w:tc>
          <w:tcPr>
            <w:tcW w:w="21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(57</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8</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Allison Transmission Holdings, Inc. </w:t>
      </w:r>
    </w:p>
    <w:p>
      <w:pPr>
        <w:pStyle w:val="TextBody"/>
        <w:bidi w:val="0"/>
        <w:spacing w:before="0" w:after="0"/>
        <w:jc w:val="center"/>
        <w:rPr>
          <w:rFonts w:ascii="Times New Roman" w:hAnsi="Times New Roman"/>
          <w:sz w:val="20"/>
        </w:rPr>
      </w:pPr>
      <w:r>
        <w:rPr>
          <w:rFonts w:ascii="Times New Roman" w:hAnsi="Times New Roman"/>
          <w:sz w:val="20"/>
        </w:rPr>
        <w:t xml:space="preserve">Reconciliation of GAAP to Non-GAAP Financial Measures </w:t>
      </w:r>
    </w:p>
    <w:p>
      <w:pPr>
        <w:pStyle w:val="TextBody"/>
        <w:bidi w:val="0"/>
        <w:spacing w:before="0" w:after="0"/>
        <w:jc w:val="center"/>
        <w:rPr>
          <w:rFonts w:ascii="Times New Roman" w:hAnsi="Times New Roman"/>
          <w:sz w:val="20"/>
        </w:rPr>
      </w:pPr>
      <w:r>
        <w:rPr>
          <w:rFonts w:ascii="Times New Roman" w:hAnsi="Times New Roman"/>
          <w:sz w:val="20"/>
        </w:rPr>
        <w:t xml:space="preserve">(Unaudited, 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34"/>
        <w:gridCol w:w="209"/>
        <w:gridCol w:w="169"/>
        <w:gridCol w:w="720"/>
        <w:gridCol w:w="354"/>
        <w:gridCol w:w="165"/>
        <w:gridCol w:w="169"/>
        <w:gridCol w:w="541"/>
        <w:gridCol w:w="275"/>
        <w:gridCol w:w="154"/>
        <w:gridCol w:w="140"/>
        <w:gridCol w:w="563"/>
        <w:gridCol w:w="275"/>
        <w:gridCol w:w="154"/>
        <w:gridCol w:w="140"/>
        <w:gridCol w:w="563"/>
        <w:gridCol w:w="280"/>
      </w:tblGrid>
      <w:tr>
        <w:trPr/>
        <w:tc>
          <w:tcPr>
            <w:tcW w:w="533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3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118" w:type="dxa"/>
            <w:gridSpan w:val="6"/>
            <w:tcBorders/>
            <w:vAlign w:val="bottom"/>
          </w:tcPr>
          <w:p>
            <w:pPr>
              <w:pStyle w:val="TableContents"/>
              <w:bidi w:val="0"/>
              <w:spacing w:before="0" w:after="283"/>
              <w:jc w:val="center"/>
              <w:rPr/>
            </w:pPr>
            <w:r>
              <w:rPr/>
              <w:t>Three months ended</w:t>
              <w:br/>
              <w:t>June 30,</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835" w:type="dxa"/>
            <w:gridSpan w:val="6"/>
            <w:tcBorders/>
            <w:vAlign w:val="bottom"/>
          </w:tcPr>
          <w:p>
            <w:pPr>
              <w:pStyle w:val="TableContents"/>
              <w:bidi w:val="0"/>
              <w:spacing w:before="0" w:after="283"/>
              <w:jc w:val="center"/>
              <w:rPr/>
            </w:pPr>
            <w:r>
              <w:rPr/>
              <w:t>Six months ended</w:t>
              <w:br/>
              <w:t>June 30,</w:t>
            </w:r>
          </w:p>
        </w:tc>
        <w:tc>
          <w:tcPr>
            <w:tcW w:w="280" w:type="dxa"/>
            <w:tcBorders/>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280"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(GAAP) plus: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181</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541" w:type="dxa"/>
            <w:tcBorders/>
            <w:shd w:fill="CCEEFF" w:val="clear"/>
            <w:vAlign w:val="bottom"/>
          </w:tcPr>
          <w:p>
            <w:pPr>
              <w:pStyle w:val="TableContents"/>
              <w:bidi w:val="0"/>
              <w:spacing w:before="0" w:after="283"/>
              <w:jc w:val="right"/>
              <w:rPr/>
            </w:pPr>
            <w:r>
              <w:rPr/>
              <w:t>195</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293</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387</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54</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115</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43</w:t>
            </w:r>
          </w:p>
        </w:tc>
        <w:tc>
          <w:tcPr>
            <w:tcW w:w="280"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46</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90</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57</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47</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47</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88</w:t>
            </w:r>
          </w:p>
        </w:tc>
        <w:tc>
          <w:tcPr>
            <w:tcW w:w="280"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21</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Recognition of the stepped-up basis in inventory (a)</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the stepped up basis in property, plant and equipment (b)</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18</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Acquisition-related expenses (c)</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9</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24</w:t>
            </w:r>
          </w:p>
        </w:tc>
        <w:tc>
          <w:tcPr>
            <w:tcW w:w="280"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(d)</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10</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14</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(gain) on marketable securities (e)</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12</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w:t>
            </w:r>
          </w:p>
        </w:tc>
        <w:tc>
          <w:tcPr>
            <w:tcW w:w="280"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foreign exchange (f)</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Loss associated with impairment of long-lived assets (g)</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2</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(h)</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4</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54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404</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541" w:type="dxa"/>
            <w:tcBorders/>
            <w:vAlign w:val="bottom"/>
          </w:tcPr>
          <w:p>
            <w:pPr>
              <w:pStyle w:val="TableContents"/>
              <w:bidi w:val="0"/>
              <w:spacing w:before="0" w:after="283"/>
              <w:jc w:val="right"/>
              <w:rPr/>
            </w:pPr>
            <w:r>
              <w:rPr/>
              <w:t>313</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766</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609</w:t>
            </w:r>
          </w:p>
        </w:tc>
        <w:tc>
          <w:tcPr>
            <w:tcW w:w="280" w:type="dxa"/>
            <w:tcBorders/>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54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(GAAP)</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1,566</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541" w:type="dxa"/>
            <w:tcBorders/>
            <w:shd w:fill="CCEEFF" w:val="clear"/>
            <w:vAlign w:val="bottom"/>
          </w:tcPr>
          <w:p>
            <w:pPr>
              <w:pStyle w:val="TableContents"/>
              <w:bidi w:val="0"/>
              <w:spacing w:before="0" w:after="283"/>
              <w:jc w:val="right"/>
              <w:rPr/>
            </w:pPr>
            <w:r>
              <w:rPr/>
              <w:t>814</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2,972</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1,580</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as a percent of Net sales (GAAP)</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11.6</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24.0</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9.9</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24.5</w:t>
            </w:r>
          </w:p>
        </w:tc>
        <w:tc>
          <w:tcPr>
            <w:tcW w:w="280"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as a percent of Net sales (Non-GAAP)</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25.8</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38.5</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25.8</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38.5</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 (GAAP)</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312</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541" w:type="dxa"/>
            <w:tcBorders/>
            <w:vAlign w:val="bottom"/>
          </w:tcPr>
          <w:p>
            <w:pPr>
              <w:pStyle w:val="TableContents"/>
              <w:bidi w:val="0"/>
              <w:spacing w:before="0" w:after="283"/>
              <w:jc w:val="right"/>
              <w:rPr/>
            </w:pPr>
            <w:r>
              <w:rPr/>
              <w:t>184</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468</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365</w:t>
            </w:r>
          </w:p>
        </w:tc>
        <w:tc>
          <w:tcPr>
            <w:tcW w:w="280"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Deductions to reconcile to Adjusted free cash flow:</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72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Additions of long-lived assets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(31</w:t>
            </w:r>
          </w:p>
        </w:tc>
        <w:tc>
          <w:tcPr>
            <w:tcW w:w="3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(31</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(84</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(57</w:t>
            </w:r>
          </w:p>
        </w:tc>
        <w:tc>
          <w:tcPr>
            <w:tcW w:w="280" w:type="dxa"/>
            <w:tcBorders/>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54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free cash flow (Non-GAAP)</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281</w:t>
            </w:r>
          </w:p>
        </w:tc>
        <w:tc>
          <w:tcPr>
            <w:tcW w:w="3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541" w:type="dxa"/>
            <w:tcBorders/>
            <w:shd w:fill="CCEEFF" w:val="clear"/>
            <w:vAlign w:val="bottom"/>
          </w:tcPr>
          <w:p>
            <w:pPr>
              <w:pStyle w:val="TableContents"/>
              <w:bidi w:val="0"/>
              <w:spacing w:before="0" w:after="283"/>
              <w:jc w:val="right"/>
              <w:rPr/>
            </w:pPr>
            <w:r>
              <w:rPr/>
              <w:t>153</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384</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308</w:t>
            </w:r>
          </w:p>
        </w:tc>
        <w:tc>
          <w:tcPr>
            <w:tcW w:w="280" w:type="dxa"/>
            <w:tcBorders/>
            <w:shd w:fill="CCEEFF" w:val="clear"/>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54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recognition of the stepped-up basis in inventory related to our acquisition of the Dana Off-Highw ay business (the “Acquisition”) (recorded in Cost of sales).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depreciation of the stepped-up basis in property, plant and equipment related to the Acquisition (recorded in Cost of sales).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expenses (recorded in Selling, general and administrative), primarily consulting and legal fees, related to the Acquisition.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stock-based compensation expense (recorded in Selling, general and administrative).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unrealized losses (gains) (recorded in Other (expense) income, net) related to an investment in the common stock of Jing-Jin Electric Technologies Co. Ltd.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losses (recorded in Other (expense) income, net) on intercompany financing transactions for our facility in Chennai, India.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charge associated with the impairment of long-lived assets related to the production of certain electrified products.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other adjustments as defined by the Second Amended and Restated Credit Agreement dated as of March 29, 2019 as amended.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9</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Allison Transmission Holdings, Inc. </w:t>
      </w:r>
    </w:p>
    <w:p>
      <w:pPr>
        <w:pStyle w:val="TextBody"/>
        <w:bidi w:val="0"/>
        <w:spacing w:before="0" w:after="0"/>
        <w:jc w:val="center"/>
        <w:rPr>
          <w:rFonts w:ascii="Times New Roman" w:hAnsi="Times New Roman"/>
          <w:sz w:val="20"/>
        </w:rPr>
      </w:pPr>
      <w:r>
        <w:rPr>
          <w:rFonts w:ascii="Times New Roman" w:hAnsi="Times New Roman"/>
          <w:sz w:val="20"/>
        </w:rPr>
        <w:t xml:space="preserve">Reconciliation of GAAP to Non-GAAP Financial Measures </w:t>
      </w:r>
    </w:p>
    <w:p>
      <w:pPr>
        <w:pStyle w:val="TextBody"/>
        <w:bidi w:val="0"/>
        <w:spacing w:before="0" w:after="0"/>
        <w:jc w:val="center"/>
        <w:rPr>
          <w:rFonts w:ascii="Times New Roman" w:hAnsi="Times New Roman"/>
          <w:sz w:val="20"/>
        </w:rPr>
      </w:pPr>
      <w:r>
        <w:rPr>
          <w:rFonts w:ascii="Times New Roman" w:hAnsi="Times New Roman"/>
          <w:sz w:val="20"/>
        </w:rPr>
        <w:t xml:space="preserve">(Unaudited, dollars in millions) </w:t>
      </w:r>
    </w:p>
    <w:p>
      <w:pPr>
        <w:pStyle w:val="TextBody"/>
        <w:bidi w:val="0"/>
        <w:spacing w:before="0" w:after="0"/>
        <w:jc w:val="left"/>
        <w:rPr/>
      </w:pPr>
      <w:r>
        <w:rPr/>
        <w:t> </w:t>
      </w:r>
    </w:p>
    <w:tbl>
      <w:tblPr>
        <w:tblW w:w="11205" w:type="dxa"/>
        <w:jc w:val="center"/>
        <w:tblInd w:w="0" w:type="dxa"/>
        <w:tblLayout w:type="fixed"/>
        <w:tblCellMar>
          <w:top w:w="0" w:type="dxa"/>
          <w:left w:w="0" w:type="dxa"/>
          <w:bottom w:w="0" w:type="dxa"/>
          <w:right w:w="0" w:type="dxa"/>
        </w:tblCellMar>
      </w:tblPr>
      <w:tblGrid>
        <w:gridCol w:w="1595"/>
        <w:gridCol w:w="120"/>
        <w:gridCol w:w="490"/>
        <w:gridCol w:w="1540"/>
        <w:gridCol w:w="275"/>
        <w:gridCol w:w="60"/>
        <w:gridCol w:w="497"/>
        <w:gridCol w:w="1563"/>
        <w:gridCol w:w="275"/>
        <w:gridCol w:w="60"/>
        <w:gridCol w:w="615"/>
        <w:gridCol w:w="1670"/>
        <w:gridCol w:w="155"/>
        <w:gridCol w:w="60"/>
        <w:gridCol w:w="169"/>
        <w:gridCol w:w="677"/>
        <w:gridCol w:w="332"/>
        <w:gridCol w:w="72"/>
        <w:gridCol w:w="169"/>
        <w:gridCol w:w="536"/>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pPr>
            <w:r>
              <w:rPr/>
              <w:t>Allison Transmission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pPr>
            <w:r>
              <w:rPr/>
              <w:t>Allison Off-Highway</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bottom"/>
          </w:tcPr>
          <w:p>
            <w:pPr>
              <w:pStyle w:val="TableContents"/>
              <w:bidi w:val="0"/>
              <w:spacing w:before="0" w:after="283"/>
              <w:jc w:val="center"/>
              <w:rPr/>
            </w:pPr>
            <w:r>
              <w:rPr/>
              <w:t>Central Group Function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6"/>
            <w:tcBorders>
              <w:bottom w:val="single" w:sz="8" w:space="0" w:color="000000"/>
            </w:tcBorders>
            <w:tcMar>
              <w:bottom w:w="28" w:type="dxa"/>
            </w:tcMar>
            <w:vAlign w:val="bottom"/>
          </w:tcPr>
          <w:p>
            <w:pPr>
              <w:pStyle w:val="TableContents"/>
              <w:bidi w:val="0"/>
              <w:spacing w:before="0" w:after="283"/>
              <w:jc w:val="center"/>
              <w:rPr/>
            </w:pPr>
            <w:r>
              <w:rPr/>
              <w:t>Consolidated</w:t>
            </w:r>
          </w:p>
        </w:tc>
        <w:tc>
          <w:tcPr>
            <w:tcW w:w="275"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vAlign w:val="bottom"/>
          </w:tcPr>
          <w:p>
            <w:pPr>
              <w:pStyle w:val="TableContents"/>
              <w:bidi w:val="0"/>
              <w:spacing w:before="0" w:after="283"/>
              <w:jc w:val="center"/>
              <w:rPr/>
            </w:pPr>
            <w:r>
              <w:rPr/>
              <w:t>Three months ended</w:t>
              <w:br/>
              <w:t>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vAlign w:val="bottom"/>
          </w:tcPr>
          <w:p>
            <w:pPr>
              <w:pStyle w:val="TableContents"/>
              <w:bidi w:val="0"/>
              <w:spacing w:before="0" w:after="283"/>
              <w:jc w:val="center"/>
              <w:rPr/>
            </w:pPr>
            <w:r>
              <w:rPr/>
              <w:t>Three months ended</w:t>
              <w:br/>
              <w:t>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5" w:type="dxa"/>
            <w:gridSpan w:val="2"/>
            <w:tcBorders/>
            <w:vAlign w:val="bottom"/>
          </w:tcPr>
          <w:p>
            <w:pPr>
              <w:pStyle w:val="TableContents"/>
              <w:bidi w:val="0"/>
              <w:spacing w:before="0" w:after="283"/>
              <w:jc w:val="center"/>
              <w:rPr/>
            </w:pPr>
            <w:r>
              <w:rPr/>
              <w:t>Three months ended</w:t>
              <w:br/>
              <w:t>June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6"/>
            <w:tcBorders/>
            <w:vAlign w:val="bottom"/>
          </w:tcPr>
          <w:p>
            <w:pPr>
              <w:pStyle w:val="TableContents"/>
              <w:bidi w:val="0"/>
              <w:spacing w:before="0" w:after="283"/>
              <w:jc w:val="center"/>
              <w:rPr/>
            </w:pPr>
            <w:r>
              <w:rPr/>
              <w:t>Three months ended</w:t>
              <w:br/>
              <w:t>June 30,</w:t>
            </w:r>
          </w:p>
        </w:tc>
        <w:tc>
          <w:tcPr>
            <w:tcW w:w="275"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3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Operating Profit/(Loss) (GAAP)</w:t>
            </w:r>
          </w:p>
        </w:tc>
        <w:tc>
          <w:tcPr>
            <w:tcW w:w="12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w:t>
            </w:r>
          </w:p>
        </w:tc>
        <w:tc>
          <w:tcPr>
            <w:tcW w:w="1540" w:type="dxa"/>
            <w:tcBorders/>
            <w:shd w:fill="CCEEFF" w:val="clear"/>
            <w:vAlign w:val="bottom"/>
          </w:tcPr>
          <w:p>
            <w:pPr>
              <w:pStyle w:val="TableContents"/>
              <w:bidi w:val="0"/>
              <w:spacing w:before="0" w:after="283"/>
              <w:jc w:val="right"/>
              <w:rPr/>
            </w:pPr>
            <w:r>
              <w:rPr/>
              <w:t>281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w:t>
            </w:r>
          </w:p>
        </w:tc>
        <w:tc>
          <w:tcPr>
            <w:tcW w:w="1563"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w:t>
            </w:r>
          </w:p>
        </w:tc>
        <w:tc>
          <w:tcPr>
            <w:tcW w:w="1670"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677" w:type="dxa"/>
            <w:tcBorders/>
            <w:shd w:fill="CCEEFF" w:val="clear"/>
            <w:vAlign w:val="bottom"/>
          </w:tcPr>
          <w:p>
            <w:pPr>
              <w:pStyle w:val="TableContents"/>
              <w:bidi w:val="0"/>
              <w:spacing w:before="0" w:after="283"/>
              <w:jc w:val="right"/>
              <w:rPr/>
            </w:pPr>
            <w:r>
              <w:rPr/>
              <w:t>291</w:t>
            </w:r>
          </w:p>
        </w:tc>
        <w:tc>
          <w:tcPr>
            <w:tcW w:w="3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536" w:type="dxa"/>
            <w:tcBorders/>
            <w:shd w:fill="CCEEFF" w:val="clear"/>
            <w:vAlign w:val="bottom"/>
          </w:tcPr>
          <w:p>
            <w:pPr>
              <w:pStyle w:val="TableContents"/>
              <w:bidi w:val="0"/>
              <w:spacing w:before="0" w:after="283"/>
              <w:jc w:val="right"/>
              <w:rPr/>
            </w:pPr>
            <w:r>
              <w:rPr/>
              <w:t>256</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12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sz w:val="4"/>
                <w:szCs w:val="4"/>
              </w:rPr>
            </w:pPr>
            <w:r>
              <w:rPr>
                <w:sz w:val="4"/>
                <w:szCs w:val="4"/>
              </w:rPr>
            </w:r>
          </w:p>
        </w:tc>
        <w:tc>
          <w:tcPr>
            <w:tcW w:w="15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sz w:val="4"/>
                <w:szCs w:val="4"/>
              </w:rPr>
            </w:pPr>
            <w:r>
              <w:rPr>
                <w:sz w:val="4"/>
                <w:szCs w:val="4"/>
              </w:rPr>
            </w:r>
          </w:p>
        </w:tc>
        <w:tc>
          <w:tcPr>
            <w:tcW w:w="16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w:t>
            </w:r>
          </w:p>
        </w:tc>
        <w:tc>
          <w:tcPr>
            <w:tcW w:w="12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46</w:t>
            </w:r>
          </w:p>
        </w:tc>
        <w:tc>
          <w:tcPr>
            <w:tcW w:w="3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2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21</w:t>
            </w:r>
          </w:p>
        </w:tc>
        <w:tc>
          <w:tcPr>
            <w:tcW w:w="3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Acquisition-related expenses (a)</w:t>
            </w:r>
          </w:p>
        </w:tc>
        <w:tc>
          <w:tcPr>
            <w:tcW w:w="12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9</w:t>
            </w:r>
          </w:p>
        </w:tc>
        <w:tc>
          <w:tcPr>
            <w:tcW w:w="3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the stepped up basis in property, plant and equipment (b)</w:t>
            </w:r>
          </w:p>
        </w:tc>
        <w:tc>
          <w:tcPr>
            <w:tcW w:w="12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18</w:t>
            </w:r>
          </w:p>
        </w:tc>
        <w:tc>
          <w:tcPr>
            <w:tcW w:w="3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(c)</w:t>
            </w:r>
          </w:p>
        </w:tc>
        <w:tc>
          <w:tcPr>
            <w:tcW w:w="12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10</w:t>
            </w:r>
          </w:p>
        </w:tc>
        <w:tc>
          <w:tcPr>
            <w:tcW w:w="3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Loss associated with the impairment of long-lived assets (d)</w:t>
            </w:r>
          </w:p>
        </w:tc>
        <w:tc>
          <w:tcPr>
            <w:tcW w:w="12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2</w:t>
            </w:r>
          </w:p>
        </w:tc>
        <w:tc>
          <w:tcPr>
            <w:tcW w:w="3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w:t>
            </w:r>
          </w:p>
        </w:tc>
        <w:tc>
          <w:tcPr>
            <w:tcW w:w="12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7</w:t>
            </w:r>
          </w:p>
        </w:tc>
        <w:tc>
          <w:tcPr>
            <w:tcW w:w="3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6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677" w:type="dxa"/>
            <w:tcBorders/>
            <w:vAlign w:val="bottom"/>
          </w:tcPr>
          <w:p>
            <w:pPr>
              <w:pStyle w:val="TableContents"/>
              <w:pBdr>
                <w:top w:val="single" w:sz="2"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12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318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w:t>
            </w:r>
          </w:p>
        </w:tc>
        <w:tc>
          <w:tcPr>
            <w:tcW w:w="1563" w:type="dxa"/>
            <w:tcBorders/>
            <w:vAlign w:val="bottom"/>
          </w:tcPr>
          <w:p>
            <w:pPr>
              <w:pStyle w:val="TableContents"/>
              <w:bidi w:val="0"/>
              <w:spacing w:before="0" w:after="283"/>
              <w:jc w:val="right"/>
              <w:rPr/>
            </w:pPr>
            <w:r>
              <w:rPr/>
              <w:t>104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w:t>
            </w:r>
          </w:p>
        </w:tc>
        <w:tc>
          <w:tcPr>
            <w:tcW w:w="1670"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677" w:type="dxa"/>
            <w:tcBorders/>
            <w:vAlign w:val="bottom"/>
          </w:tcPr>
          <w:p>
            <w:pPr>
              <w:pStyle w:val="TableContents"/>
              <w:bidi w:val="0"/>
              <w:spacing w:before="0" w:after="283"/>
              <w:jc w:val="right"/>
              <w:rPr/>
            </w:pPr>
            <w:r>
              <w:rPr/>
              <w:t>404</w:t>
            </w:r>
          </w:p>
        </w:tc>
        <w:tc>
          <w:tcPr>
            <w:tcW w:w="3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536" w:type="dxa"/>
            <w:tcBorders/>
            <w:vAlign w:val="bottom"/>
          </w:tcPr>
          <w:p>
            <w:pPr>
              <w:pStyle w:val="TableContents"/>
              <w:bidi w:val="0"/>
              <w:spacing w:before="0" w:after="283"/>
              <w:jc w:val="right"/>
              <w:rPr/>
            </w:pPr>
            <w:r>
              <w:rPr/>
              <w:t>313</w:t>
            </w:r>
          </w:p>
        </w:tc>
        <w:tc>
          <w:tcPr>
            <w:tcW w:w="275"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double" w:sz="6" w:space="1" w:color="000000"/>
              </w:pBdr>
              <w:bidi w:val="0"/>
              <w:spacing w:before="0" w:after="0"/>
              <w:jc w:val="left"/>
              <w:rPr/>
            </w:pPr>
            <w:r>
              <w:rPr/>
              <w:t> </w:t>
            </w:r>
          </w:p>
        </w:tc>
        <w:tc>
          <w:tcPr>
            <w:tcW w:w="15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156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16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677" w:type="dxa"/>
            <w:tcBorders/>
            <w:vAlign w:val="bottom"/>
          </w:tcPr>
          <w:p>
            <w:pPr>
              <w:pStyle w:val="TableContents"/>
              <w:pBdr>
                <w:top w:val="double" w:sz="6"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(GAAP)</w:t>
            </w:r>
          </w:p>
        </w:tc>
        <w:tc>
          <w:tcPr>
            <w:tcW w:w="12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w:t>
            </w:r>
          </w:p>
        </w:tc>
        <w:tc>
          <w:tcPr>
            <w:tcW w:w="1540" w:type="dxa"/>
            <w:tcBorders/>
            <w:shd w:fill="CCEEFF" w:val="clear"/>
            <w:vAlign w:val="bottom"/>
          </w:tcPr>
          <w:p>
            <w:pPr>
              <w:pStyle w:val="TableContents"/>
              <w:bidi w:val="0"/>
              <w:spacing w:before="0" w:after="283"/>
              <w:jc w:val="right"/>
              <w:rPr/>
            </w:pPr>
            <w:r>
              <w:rPr/>
              <w:t>860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w:t>
            </w:r>
          </w:p>
        </w:tc>
        <w:tc>
          <w:tcPr>
            <w:tcW w:w="1563" w:type="dxa"/>
            <w:tcBorders/>
            <w:shd w:fill="CCEEFF" w:val="clear"/>
            <w:vAlign w:val="bottom"/>
          </w:tcPr>
          <w:p>
            <w:pPr>
              <w:pStyle w:val="TableContents"/>
              <w:bidi w:val="0"/>
              <w:spacing w:before="0" w:after="283"/>
              <w:jc w:val="right"/>
              <w:rPr/>
            </w:pPr>
            <w:r>
              <w:rPr/>
              <w:t>706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w:t>
            </w:r>
          </w:p>
        </w:tc>
        <w:tc>
          <w:tcPr>
            <w:tcW w:w="1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677" w:type="dxa"/>
            <w:tcBorders/>
            <w:shd w:fill="CCEEFF" w:val="clear"/>
            <w:vAlign w:val="bottom"/>
          </w:tcPr>
          <w:p>
            <w:pPr>
              <w:pStyle w:val="TableContents"/>
              <w:bidi w:val="0"/>
              <w:spacing w:before="0" w:after="283"/>
              <w:jc w:val="right"/>
              <w:rPr/>
            </w:pPr>
            <w:r>
              <w:rPr/>
              <w:t>1,566</w:t>
            </w:r>
          </w:p>
        </w:tc>
        <w:tc>
          <w:tcPr>
            <w:tcW w:w="3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536" w:type="dxa"/>
            <w:tcBorders/>
            <w:shd w:fill="CCEEFF" w:val="clear"/>
            <w:vAlign w:val="bottom"/>
          </w:tcPr>
          <w:p>
            <w:pPr>
              <w:pStyle w:val="TableContents"/>
              <w:bidi w:val="0"/>
              <w:spacing w:before="0" w:after="283"/>
              <w:jc w:val="right"/>
              <w:rPr/>
            </w:pPr>
            <w:r>
              <w:rPr/>
              <w:t>814</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Segment Operating Profit/(Loss) as a percent of Net sales (GAAP)</w:t>
            </w:r>
          </w:p>
        </w:tc>
        <w:tc>
          <w:tcPr>
            <w:tcW w:w="12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32.7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18.6</w:t>
            </w:r>
          </w:p>
        </w:tc>
        <w:tc>
          <w:tcPr>
            <w:tcW w:w="3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31.4</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as a percent of Net sales (Non-GAAP)</w:t>
            </w:r>
          </w:p>
        </w:tc>
        <w:tc>
          <w:tcPr>
            <w:tcW w:w="12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37.0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14.7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25.8</w:t>
            </w:r>
          </w:p>
        </w:tc>
        <w:tc>
          <w:tcPr>
            <w:tcW w:w="3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38.5</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expenses (recorded in Selling, general and administrative), primarily consulting and legal fees, related to the Acquisition.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depreciation of the stepped-up basis in property, plant and equipment related to the Acquisition (recorded in Cost of sales).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stock-based compensation expense (recorded in Selling, general and administrative).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charge associated with the impairment of long-lived assets related to the production of certain electrified products.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gains and losses (recorded in Other (expense) income, net) to reconcile to Adjusted EBITDA. </w:t>
            </w:r>
          </w:p>
        </w:tc>
      </w:tr>
    </w:tbl>
    <w:p>
      <w:pPr>
        <w:pStyle w:val="TextBody"/>
        <w:bidi w:val="0"/>
        <w:spacing w:before="0" w:after="0"/>
        <w:jc w:val="left"/>
        <w:rPr/>
      </w:pPr>
      <w:r>
        <w:rPr/>
        <w:t> </w:t>
      </w:r>
    </w:p>
    <w:tbl>
      <w:tblPr>
        <w:tblW w:w="10985" w:type="dxa"/>
        <w:jc w:val="center"/>
        <w:tblInd w:w="0" w:type="dxa"/>
        <w:tblLayout w:type="fixed"/>
        <w:tblCellMar>
          <w:top w:w="0" w:type="dxa"/>
          <w:left w:w="0" w:type="dxa"/>
          <w:bottom w:w="0" w:type="dxa"/>
          <w:right w:w="0" w:type="dxa"/>
        </w:tblCellMar>
      </w:tblPr>
      <w:tblGrid>
        <w:gridCol w:w="1595"/>
        <w:gridCol w:w="120"/>
        <w:gridCol w:w="406"/>
        <w:gridCol w:w="1624"/>
        <w:gridCol w:w="275"/>
        <w:gridCol w:w="60"/>
        <w:gridCol w:w="412"/>
        <w:gridCol w:w="1648"/>
        <w:gridCol w:w="275"/>
        <w:gridCol w:w="60"/>
        <w:gridCol w:w="615"/>
        <w:gridCol w:w="1670"/>
        <w:gridCol w:w="155"/>
        <w:gridCol w:w="60"/>
        <w:gridCol w:w="140"/>
        <w:gridCol w:w="560"/>
        <w:gridCol w:w="275"/>
        <w:gridCol w:w="60"/>
        <w:gridCol w:w="140"/>
        <w:gridCol w:w="560"/>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pPr>
            <w:r>
              <w:rPr/>
              <w:t>Allison Transmission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pPr>
            <w:r>
              <w:rPr/>
              <w:t>Allison Off-Highway</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bottom"/>
          </w:tcPr>
          <w:p>
            <w:pPr>
              <w:pStyle w:val="TableContents"/>
              <w:bidi w:val="0"/>
              <w:spacing w:before="0" w:after="283"/>
              <w:jc w:val="center"/>
              <w:rPr/>
            </w:pPr>
            <w:r>
              <w:rPr/>
              <w:t>Central Group Function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5" w:type="dxa"/>
            <w:gridSpan w:val="6"/>
            <w:tcBorders>
              <w:bottom w:val="single" w:sz="8" w:space="0" w:color="000000"/>
            </w:tcBorders>
            <w:tcMar>
              <w:bottom w:w="28" w:type="dxa"/>
            </w:tcMar>
            <w:vAlign w:val="bottom"/>
          </w:tcPr>
          <w:p>
            <w:pPr>
              <w:pStyle w:val="TableContents"/>
              <w:bidi w:val="0"/>
              <w:spacing w:before="0" w:after="283"/>
              <w:jc w:val="center"/>
              <w:rPr/>
            </w:pPr>
            <w:r>
              <w:rPr/>
              <w:t>Consolidated</w:t>
            </w:r>
          </w:p>
        </w:tc>
        <w:tc>
          <w:tcPr>
            <w:tcW w:w="275"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vAlign w:val="bottom"/>
          </w:tcPr>
          <w:p>
            <w:pPr>
              <w:pStyle w:val="TableContents"/>
              <w:bidi w:val="0"/>
              <w:spacing w:before="0" w:after="283"/>
              <w:jc w:val="center"/>
              <w:rPr/>
            </w:pPr>
            <w:r>
              <w:rPr/>
              <w:t>Six months ended</w:t>
              <w:br/>
              <w:t>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vAlign w:val="bottom"/>
          </w:tcPr>
          <w:p>
            <w:pPr>
              <w:pStyle w:val="TableContents"/>
              <w:bidi w:val="0"/>
              <w:spacing w:before="0" w:after="283"/>
              <w:jc w:val="center"/>
              <w:rPr/>
            </w:pPr>
            <w:r>
              <w:rPr/>
              <w:t>Six months ended</w:t>
              <w:br/>
              <w:t>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5" w:type="dxa"/>
            <w:gridSpan w:val="2"/>
            <w:tcBorders/>
            <w:vAlign w:val="bottom"/>
          </w:tcPr>
          <w:p>
            <w:pPr>
              <w:pStyle w:val="TableContents"/>
              <w:bidi w:val="0"/>
              <w:spacing w:before="0" w:after="283"/>
              <w:jc w:val="center"/>
              <w:rPr/>
            </w:pPr>
            <w:r>
              <w:rPr/>
              <w:t>Six months ended</w:t>
              <w:br/>
              <w:t>June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5" w:type="dxa"/>
            <w:gridSpan w:val="6"/>
            <w:tcBorders/>
            <w:vAlign w:val="bottom"/>
          </w:tcPr>
          <w:p>
            <w:pPr>
              <w:pStyle w:val="TableContents"/>
              <w:bidi w:val="0"/>
              <w:spacing w:before="0" w:after="283"/>
              <w:jc w:val="center"/>
              <w:rPr/>
            </w:pPr>
            <w:r>
              <w:rPr/>
              <w:t>Six months ended</w:t>
              <w:br/>
              <w:t>June 30,</w:t>
            </w:r>
          </w:p>
        </w:tc>
        <w:tc>
          <w:tcPr>
            <w:tcW w:w="275"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Operating Profit/(Loss) (GAAP)</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533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w:t>
            </w:r>
          </w:p>
        </w:tc>
        <w:tc>
          <w:tcPr>
            <w:tcW w:w="1648"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w:t>
            </w:r>
          </w:p>
        </w:tc>
        <w:tc>
          <w:tcPr>
            <w:tcW w:w="1670"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505</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sz w:val="4"/>
                <w:szCs w:val="4"/>
              </w:rPr>
            </w:pPr>
            <w:r>
              <w:rPr>
                <w:sz w:val="4"/>
                <w:szCs w:val="4"/>
              </w:rPr>
            </w:r>
          </w:p>
        </w:tc>
        <w:tc>
          <w:tcPr>
            <w:tcW w:w="16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sz w:val="4"/>
                <w:szCs w:val="4"/>
              </w:rPr>
            </w:pPr>
            <w:r>
              <w:rPr>
                <w:sz w:val="4"/>
                <w:szCs w:val="4"/>
              </w:rPr>
            </w:r>
          </w:p>
        </w:tc>
        <w:tc>
          <w:tcPr>
            <w:tcW w:w="16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57</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Recognition of the stepped-up basis in inventory (a)</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Acquisition-related expenses (b)</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the stepped up basis in property, plant and equipment (c)</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(d)</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associated with the impairment of long-lived assets (e)</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Other (f)</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pBdr>
                <w:top w:val="single" w:sz="2" w:space="1" w:color="000000"/>
              </w:pBdr>
              <w:bidi w:val="0"/>
              <w:spacing w:before="0" w:after="0"/>
              <w:jc w:val="left"/>
              <w:rPr/>
            </w:pPr>
            <w:r>
              <w:rPr/>
              <w:t> </w:t>
            </w:r>
          </w:p>
        </w:tc>
        <w:tc>
          <w:tcPr>
            <w:tcW w:w="164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6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594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w:t>
            </w:r>
          </w:p>
        </w:tc>
        <w:tc>
          <w:tcPr>
            <w:tcW w:w="1648" w:type="dxa"/>
            <w:tcBorders/>
            <w:shd w:fill="CCEEFF" w:val="clear"/>
            <w:vAlign w:val="bottom"/>
          </w:tcPr>
          <w:p>
            <w:pPr>
              <w:pStyle w:val="TableContents"/>
              <w:bidi w:val="0"/>
              <w:spacing w:before="0" w:after="283"/>
              <w:jc w:val="right"/>
              <w:rPr/>
            </w:pPr>
            <w:r>
              <w:rPr/>
              <w:t>202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w:t>
            </w:r>
          </w:p>
        </w:tc>
        <w:tc>
          <w:tcPr>
            <w:tcW w:w="1670"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609</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pBdr>
                <w:top w:val="double" w:sz="6" w:space="1" w:color="000000"/>
              </w:pBdr>
              <w:bidi w:val="0"/>
              <w:spacing w:before="0" w:after="0"/>
              <w:jc w:val="left"/>
              <w:rPr/>
            </w:pPr>
            <w:r>
              <w:rPr/>
              <w:t> </w:t>
            </w:r>
          </w:p>
        </w:tc>
        <w:tc>
          <w:tcPr>
            <w:tcW w:w="164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16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Net sales (GAAP)</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1,593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w:t>
            </w:r>
          </w:p>
        </w:tc>
        <w:tc>
          <w:tcPr>
            <w:tcW w:w="1648" w:type="dxa"/>
            <w:tcBorders/>
            <w:vAlign w:val="bottom"/>
          </w:tcPr>
          <w:p>
            <w:pPr>
              <w:pStyle w:val="TableContents"/>
              <w:bidi w:val="0"/>
              <w:spacing w:before="0" w:after="283"/>
              <w:jc w:val="right"/>
              <w:rPr/>
            </w:pPr>
            <w:r>
              <w:rPr/>
              <w:t>1,379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w:t>
            </w:r>
          </w:p>
        </w:tc>
        <w:tc>
          <w:tcPr>
            <w:tcW w:w="1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2,972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1,580</w:t>
            </w:r>
          </w:p>
        </w:tc>
        <w:tc>
          <w:tcPr>
            <w:tcW w:w="275"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Operating Profit/(Loss) as a percent of Net sales (GAAP)</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33.5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16.4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32.0</w:t>
            </w:r>
          </w:p>
        </w:tc>
        <w:tc>
          <w:tcPr>
            <w:tcW w:w="275"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as a percent of Net sales (Non-GAAP)</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37.3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14.6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38.5</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recognition of the stepped-up basis in inventory related to the Acquisition (recorded in Cost of sales).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expenses (recorded in Selling, general and administrative), primarily consulting and legal fees, related to the Acquisition.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depreciation of the stepped-up basis in property, plant and equipment related to the Acquisition (recorded in Cost of sales).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stock-based compensation expense (recorded in Selling, general and administrative).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charge associated with the impairment of long-lived assets related to the production of certain electrified products.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gains and losses (recorded in Other (expense) income, net) to reconcile to Adjusted EBITDA.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6"/>
        <w:gridCol w:w="131"/>
        <w:gridCol w:w="3288"/>
        <w:gridCol w:w="131"/>
        <w:gridCol w:w="3129"/>
      </w:tblGrid>
      <w:tr>
        <w:trPr/>
        <w:tc>
          <w:tcPr>
            <w:tcW w:w="352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26"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center"/>
              <w:rPr/>
            </w:pPr>
            <w:r>
              <w:rPr/>
              <w:t>10</w:t>
            </w:r>
          </w:p>
        </w:tc>
        <w:tc>
          <w:tcPr>
            <w:tcW w:w="131"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Allison Transmission Holdings, Inc. </w:t>
      </w:r>
    </w:p>
    <w:p>
      <w:pPr>
        <w:pStyle w:val="TextBody"/>
        <w:bidi w:val="0"/>
        <w:spacing w:before="0" w:after="0"/>
        <w:jc w:val="center"/>
        <w:rPr>
          <w:rFonts w:ascii="Times New Roman" w:hAnsi="Times New Roman"/>
          <w:sz w:val="20"/>
        </w:rPr>
      </w:pPr>
      <w:r>
        <w:rPr>
          <w:rFonts w:ascii="Times New Roman" w:hAnsi="Times New Roman"/>
          <w:sz w:val="20"/>
        </w:rPr>
        <w:t xml:space="preserve">Reconciliation of GAAP to Non-GAAP Financial Measures </w:t>
      </w:r>
    </w:p>
    <w:p>
      <w:pPr>
        <w:pStyle w:val="TextBody"/>
        <w:bidi w:val="0"/>
        <w:spacing w:before="0" w:after="0"/>
        <w:jc w:val="center"/>
        <w:rPr>
          <w:rFonts w:ascii="Times New Roman" w:hAnsi="Times New Roman"/>
          <w:sz w:val="20"/>
        </w:rPr>
      </w:pPr>
      <w:r>
        <w:rPr>
          <w:rFonts w:ascii="Times New Roman" w:hAnsi="Times New Roman"/>
          <w:sz w:val="20"/>
        </w:rPr>
        <w:t xml:space="preserve">(Unaudited, 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1"/>
        <w:gridCol w:w="155"/>
        <w:gridCol w:w="199"/>
        <w:gridCol w:w="627"/>
        <w:gridCol w:w="220"/>
        <w:gridCol w:w="126"/>
        <w:gridCol w:w="199"/>
        <w:gridCol w:w="629"/>
        <w:gridCol w:w="155"/>
        <w:gridCol w:w="105"/>
        <w:gridCol w:w="174"/>
        <w:gridCol w:w="563"/>
        <w:gridCol w:w="193"/>
        <w:gridCol w:w="117"/>
        <w:gridCol w:w="174"/>
        <w:gridCol w:w="567"/>
        <w:gridCol w:w="161"/>
      </w:tblGrid>
      <w:tr>
        <w:trPr/>
        <w:tc>
          <w:tcPr>
            <w:tcW w:w="5841"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00" w:type="dxa"/>
            <w:gridSpan w:val="6"/>
            <w:tcBorders/>
            <w:vAlign w:val="bottom"/>
          </w:tcPr>
          <w:p>
            <w:pPr>
              <w:pStyle w:val="TableContents"/>
              <w:bidi w:val="0"/>
              <w:spacing w:before="0" w:after="283"/>
              <w:jc w:val="center"/>
              <w:rPr/>
            </w:pPr>
            <w:r>
              <w:rPr/>
              <w:t>Three months ended</w:t>
              <w:br/>
              <w:t>June 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88" w:type="dxa"/>
            <w:gridSpan w:val="6"/>
            <w:tcBorders/>
            <w:vAlign w:val="bottom"/>
          </w:tcPr>
          <w:p>
            <w:pPr>
              <w:pStyle w:val="TableContents"/>
              <w:bidi w:val="0"/>
              <w:spacing w:before="0" w:after="283"/>
              <w:jc w:val="center"/>
              <w:rPr/>
            </w:pPr>
            <w:r>
              <w:rPr/>
              <w:t>Six months ended</w:t>
              <w:br/>
              <w:t>June 30,</w:t>
            </w:r>
          </w:p>
        </w:tc>
        <w:tc>
          <w:tcPr>
            <w:tcW w:w="161" w:type="dxa"/>
            <w:tcBorders/>
            <w:vAlign w:val="bottom"/>
          </w:tcPr>
          <w:p>
            <w:pPr>
              <w:pStyle w:val="TableContents"/>
              <w:bidi w:val="0"/>
              <w:spacing w:before="0" w:after="283"/>
              <w:jc w:val="left"/>
              <w:rPr/>
            </w:pPr>
            <w:r>
              <w:rPr/>
              <w:t> </w:t>
            </w:r>
          </w:p>
        </w:tc>
      </w:tr>
      <w:tr>
        <w:trPr/>
        <w:tc>
          <w:tcPr>
            <w:tcW w:w="584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1" w:type="dxa"/>
            <w:tcBorders/>
            <w:vAlign w:val="bottom"/>
          </w:tcPr>
          <w:p>
            <w:pPr>
              <w:pStyle w:val="TableContents"/>
              <w:bidi w:val="0"/>
              <w:spacing w:before="0" w:after="283"/>
              <w:jc w:val="left"/>
              <w:rPr/>
            </w:pPr>
            <w:r>
              <w:rPr/>
              <w:t> </w:t>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(GAAP)</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181</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293</w:t>
            </w:r>
          </w:p>
        </w:tc>
        <w:tc>
          <w:tcPr>
            <w:tcW w:w="19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387</w:t>
            </w:r>
          </w:p>
        </w:tc>
        <w:tc>
          <w:tcPr>
            <w:tcW w:w="161" w:type="dxa"/>
            <w:tcBorders/>
            <w:shd w:fill="CCEEFF" w:val="clear"/>
            <w:vAlign w:val="bottom"/>
          </w:tcPr>
          <w:p>
            <w:pPr>
              <w:pStyle w:val="TableContents"/>
              <w:bidi w:val="0"/>
              <w:spacing w:before="0" w:after="283"/>
              <w:jc w:val="left"/>
              <w:rPr/>
            </w:pPr>
            <w:r>
              <w:rPr/>
              <w:t> </w:t>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62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Recognition of the stepped-up basis in inventory (a)</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63</w:t>
            </w:r>
          </w:p>
        </w:tc>
        <w:tc>
          <w:tcPr>
            <w:tcW w:w="19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21</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44</w:t>
            </w:r>
          </w:p>
        </w:tc>
        <w:tc>
          <w:tcPr>
            <w:tcW w:w="19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w:t>
            </w:r>
          </w:p>
        </w:tc>
        <w:tc>
          <w:tcPr>
            <w:tcW w:w="161" w:type="dxa"/>
            <w:tcBorders/>
            <w:vAlign w:val="bottom"/>
          </w:tcPr>
          <w:p>
            <w:pPr>
              <w:pStyle w:val="TableContents"/>
              <w:bidi w:val="0"/>
              <w:spacing w:before="0" w:after="283"/>
              <w:jc w:val="left"/>
              <w:rPr/>
            </w:pPr>
            <w:r>
              <w:rPr/>
              <w:t> </w:t>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the stepped up basis in property, plant and equipment (b)</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18</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31</w:t>
            </w:r>
          </w:p>
        </w:tc>
        <w:tc>
          <w:tcPr>
            <w:tcW w:w="19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Acquisition-related expenses (c)</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9</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26</w:t>
            </w:r>
          </w:p>
        </w:tc>
        <w:tc>
          <w:tcPr>
            <w:tcW w:w="19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24</w:t>
            </w:r>
          </w:p>
        </w:tc>
        <w:tc>
          <w:tcPr>
            <w:tcW w:w="161" w:type="dxa"/>
            <w:tcBorders/>
            <w:vAlign w:val="bottom"/>
          </w:tcPr>
          <w:p>
            <w:pPr>
              <w:pStyle w:val="TableContents"/>
              <w:bidi w:val="0"/>
              <w:spacing w:before="0" w:after="283"/>
              <w:jc w:val="left"/>
              <w:rPr/>
            </w:pPr>
            <w:r>
              <w:rPr/>
              <w:t> </w:t>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(d)</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10</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17</w:t>
            </w:r>
          </w:p>
        </w:tc>
        <w:tc>
          <w:tcPr>
            <w:tcW w:w="19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14</w:t>
            </w:r>
          </w:p>
        </w:tc>
        <w:tc>
          <w:tcPr>
            <w:tcW w:w="161" w:type="dxa"/>
            <w:tcBorders/>
            <w:shd w:fill="CCEEFF" w:val="clear"/>
            <w:vAlign w:val="bottom"/>
          </w:tcPr>
          <w:p>
            <w:pPr>
              <w:pStyle w:val="TableContents"/>
              <w:bidi w:val="0"/>
              <w:spacing w:before="0" w:after="283"/>
              <w:jc w:val="left"/>
              <w:rPr/>
            </w:pPr>
            <w:r>
              <w:rPr/>
              <w:t> </w:t>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Loss associated with impairment of long-lived assets (e)</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w:t>
            </w:r>
          </w:p>
        </w:tc>
        <w:tc>
          <w:tcPr>
            <w:tcW w:w="19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effect on adjustments (f)</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(12</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(31</w:t>
            </w:r>
          </w:p>
        </w:tc>
        <w:tc>
          <w:tcPr>
            <w:tcW w:w="19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(8</w:t>
            </w:r>
          </w:p>
        </w:tc>
        <w:tc>
          <w:tcPr>
            <w:tcW w:w="161" w:type="dxa"/>
            <w:tcBorders/>
            <w:shd w:fill="CCEEFF" w:val="clear"/>
            <w:vAlign w:val="bottom"/>
          </w:tcPr>
          <w:p>
            <w:pPr>
              <w:pStyle w:val="TableContents"/>
              <w:bidi w:val="0"/>
              <w:spacing w:before="0" w:after="283"/>
              <w:jc w:val="left"/>
              <w:rPr/>
            </w:pPr>
            <w:r>
              <w:rPr/>
              <w:t>) </w:t>
            </w:r>
          </w:p>
        </w:tc>
      </w:tr>
      <w:tr>
        <w:trPr/>
        <w:tc>
          <w:tcPr>
            <w:tcW w:w="5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(Non-GAAP)</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229</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445</w:t>
            </w:r>
          </w:p>
        </w:tc>
        <w:tc>
          <w:tcPr>
            <w:tcW w:w="19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420</w:t>
            </w:r>
          </w:p>
        </w:tc>
        <w:tc>
          <w:tcPr>
            <w:tcW w:w="161" w:type="dxa"/>
            <w:tcBorders/>
            <w:vAlign w:val="bottom"/>
          </w:tcPr>
          <w:p>
            <w:pPr>
              <w:pStyle w:val="TableContents"/>
              <w:bidi w:val="0"/>
              <w:spacing w:before="0" w:after="283"/>
              <w:jc w:val="left"/>
              <w:rPr/>
            </w:pPr>
            <w:r>
              <w:rPr/>
              <w:t> </w:t>
            </w:r>
          </w:p>
        </w:tc>
      </w:tr>
      <w:tr>
        <w:trPr/>
        <w:tc>
          <w:tcPr>
            <w:tcW w:w="5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EPS (GAAP)</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2.18</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2.32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3.53</w:t>
            </w:r>
          </w:p>
        </w:tc>
        <w:tc>
          <w:tcPr>
            <w:tcW w:w="19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4.55</w:t>
            </w:r>
          </w:p>
        </w:tc>
        <w:tc>
          <w:tcPr>
            <w:tcW w:w="161" w:type="dxa"/>
            <w:tcBorders/>
            <w:shd w:fill="CCEEFF" w:val="clear"/>
            <w:vAlign w:val="bottom"/>
          </w:tcPr>
          <w:p>
            <w:pPr>
              <w:pStyle w:val="TableContents"/>
              <w:bidi w:val="0"/>
              <w:spacing w:before="0" w:after="283"/>
              <w:jc w:val="left"/>
              <w:rPr/>
            </w:pPr>
            <w:r>
              <w:rPr/>
              <w:t> </w:t>
            </w:r>
          </w:p>
        </w:tc>
      </w:tr>
      <w:tr>
        <w:trPr/>
        <w:tc>
          <w:tcPr>
            <w:tcW w:w="5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Diluted EPS (GAAP)</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2.15</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2.29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3.49</w:t>
            </w:r>
          </w:p>
        </w:tc>
        <w:tc>
          <w:tcPr>
            <w:tcW w:w="19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4.50</w:t>
            </w:r>
          </w:p>
        </w:tc>
        <w:tc>
          <w:tcPr>
            <w:tcW w:w="161" w:type="dxa"/>
            <w:tcBorders/>
            <w:vAlign w:val="bottom"/>
          </w:tcPr>
          <w:p>
            <w:pPr>
              <w:pStyle w:val="TableContents"/>
              <w:bidi w:val="0"/>
              <w:spacing w:before="0" w:after="283"/>
              <w:jc w:val="left"/>
              <w:rPr/>
            </w:pPr>
            <w:r>
              <w:rPr/>
              <w:t> </w:t>
            </w:r>
          </w:p>
        </w:tc>
      </w:tr>
      <w:tr>
        <w:trPr/>
        <w:tc>
          <w:tcPr>
            <w:tcW w:w="5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basic EPS (Non-GAAP) (g)</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2.76</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5.36</w:t>
            </w:r>
          </w:p>
        </w:tc>
        <w:tc>
          <w:tcPr>
            <w:tcW w:w="19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4.94</w:t>
            </w:r>
          </w:p>
        </w:tc>
        <w:tc>
          <w:tcPr>
            <w:tcW w:w="161" w:type="dxa"/>
            <w:tcBorders/>
            <w:shd w:fill="CCEEFF" w:val="clear"/>
            <w:vAlign w:val="bottom"/>
          </w:tcPr>
          <w:p>
            <w:pPr>
              <w:pStyle w:val="TableContents"/>
              <w:bidi w:val="0"/>
              <w:spacing w:before="0" w:after="283"/>
              <w:jc w:val="left"/>
              <w:rPr/>
            </w:pPr>
            <w:r>
              <w:rPr/>
              <w:t> </w:t>
            </w:r>
          </w:p>
        </w:tc>
      </w:tr>
      <w:tr>
        <w:trPr/>
        <w:tc>
          <w:tcPr>
            <w:tcW w:w="5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EPS (Non-GAAP) (g)</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2.73</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2.52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5.30</w:t>
            </w:r>
          </w:p>
        </w:tc>
        <w:tc>
          <w:tcPr>
            <w:tcW w:w="19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4.88</w:t>
            </w:r>
          </w:p>
        </w:tc>
        <w:tc>
          <w:tcPr>
            <w:tcW w:w="161" w:type="dxa"/>
            <w:tcBorders/>
            <w:vAlign w:val="bottom"/>
          </w:tcPr>
          <w:p>
            <w:pPr>
              <w:pStyle w:val="TableContents"/>
              <w:bidi w:val="0"/>
              <w:spacing w:before="0" w:after="283"/>
              <w:jc w:val="left"/>
              <w:rPr/>
            </w:pPr>
            <w:r>
              <w:rPr/>
              <w:t> </w:t>
            </w:r>
          </w:p>
        </w:tc>
      </w:tr>
      <w:tr>
        <w:trPr/>
        <w:tc>
          <w:tcPr>
            <w:tcW w:w="5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recognition of the stepped-up basis in inventory related to the Acquisition (recorded in Cost of sales).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depreciation of the stepped-up basis in property, plant and equipment related to the Acquisition (recorded in Cost of sales).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expenses (recorded in Selling, general and administrative), primarily consulting and legal fees, related to the Acquisition.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stock-based compensation expense (recorded in Selling, general and administrative).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charge associated with the impairment of long-lived assets related to the production of certain electrified products.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effect on the adjustments calculated by applying our effective tax rate.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basic EPS and Adjusted diluted EPS are Non-GAAP financial measures and are defined as Adjusted net income divided by the weighted-average common shares outstanding and diluted weighted average shares outstanding, respectively, for the period. The weighted-average common shares outstanding and diluted weighted-average common shares outstanding are the same as those used in calculating the comparable GAAP measures.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6"/>
        <w:gridCol w:w="131"/>
        <w:gridCol w:w="3288"/>
        <w:gridCol w:w="131"/>
        <w:gridCol w:w="3129"/>
      </w:tblGrid>
      <w:tr>
        <w:trPr/>
        <w:tc>
          <w:tcPr>
            <w:tcW w:w="352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26"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center"/>
              <w:rPr/>
            </w:pPr>
            <w:r>
              <w:rPr/>
              <w:t>11</w:t>
            </w:r>
          </w:p>
        </w:tc>
        <w:tc>
          <w:tcPr>
            <w:tcW w:w="131"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Allison Transmission Holdings, Inc. </w:t>
      </w:r>
    </w:p>
    <w:p>
      <w:pPr>
        <w:pStyle w:val="TextBody"/>
        <w:bidi w:val="0"/>
        <w:spacing w:before="0" w:after="0"/>
        <w:jc w:val="center"/>
        <w:rPr>
          <w:rFonts w:ascii="Times New Roman" w:hAnsi="Times New Roman"/>
          <w:sz w:val="20"/>
        </w:rPr>
      </w:pPr>
      <w:r>
        <w:rPr>
          <w:rFonts w:ascii="Times New Roman" w:hAnsi="Times New Roman"/>
          <w:sz w:val="20"/>
        </w:rPr>
        <w:t xml:space="preserve">Reconciliation of GAAP to Non-GAAP Financial Measures for Full Year Guidance </w:t>
      </w:r>
    </w:p>
    <w:p>
      <w:pPr>
        <w:pStyle w:val="TextBody"/>
        <w:bidi w:val="0"/>
        <w:spacing w:before="0" w:after="0"/>
        <w:jc w:val="center"/>
        <w:rPr>
          <w:rFonts w:ascii="Times New Roman" w:hAnsi="Times New Roman"/>
          <w:sz w:val="20"/>
        </w:rPr>
      </w:pPr>
      <w:r>
        <w:rPr>
          <w:rFonts w:ascii="Times New Roman" w:hAnsi="Times New Roman"/>
          <w:sz w:val="20"/>
        </w:rPr>
        <w:t xml:space="preserve">(Unaudited, 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67"/>
        <w:gridCol w:w="211"/>
        <w:gridCol w:w="274"/>
        <w:gridCol w:w="1102"/>
        <w:gridCol w:w="304"/>
        <w:gridCol w:w="209"/>
        <w:gridCol w:w="274"/>
        <w:gridCol w:w="1105"/>
        <w:gridCol w:w="159"/>
      </w:tblGrid>
      <w:tr>
        <w:trPr/>
        <w:tc>
          <w:tcPr>
            <w:tcW w:w="6567"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3268" w:type="dxa"/>
            <w:gridSpan w:val="6"/>
            <w:tcBorders/>
            <w:vAlign w:val="bottom"/>
          </w:tcPr>
          <w:p>
            <w:pPr>
              <w:pStyle w:val="TableContents"/>
              <w:bidi w:val="0"/>
              <w:spacing w:before="0" w:after="283"/>
              <w:jc w:val="center"/>
              <w:rPr/>
            </w:pPr>
            <w:r>
              <w:rPr/>
              <w:t>Guidance</w:t>
            </w:r>
          </w:p>
        </w:tc>
        <w:tc>
          <w:tcPr>
            <w:tcW w:w="159" w:type="dxa"/>
            <w:tcBorders/>
            <w:vAlign w:val="bottom"/>
          </w:tcPr>
          <w:p>
            <w:pPr>
              <w:pStyle w:val="TableContents"/>
              <w:bidi w:val="0"/>
              <w:spacing w:before="0" w:after="283"/>
              <w:jc w:val="left"/>
              <w:rPr/>
            </w:pPr>
            <w:r>
              <w:rPr/>
              <w:t> </w:t>
            </w:r>
          </w:p>
        </w:tc>
      </w:tr>
      <w:tr>
        <w:trPr/>
        <w:tc>
          <w:tcPr>
            <w:tcW w:w="65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3268" w:type="dxa"/>
            <w:gridSpan w:val="6"/>
            <w:tcBorders>
              <w:bottom w:val="single" w:sz="8" w:space="0" w:color="000000"/>
            </w:tcBorders>
            <w:tcMar>
              <w:bottom w:w="28" w:type="dxa"/>
            </w:tcMar>
            <w:vAlign w:val="bottom"/>
          </w:tcPr>
          <w:p>
            <w:pPr>
              <w:pStyle w:val="TableContents"/>
              <w:bidi w:val="0"/>
              <w:spacing w:before="0" w:after="283"/>
              <w:jc w:val="center"/>
              <w:rPr/>
            </w:pPr>
            <w:r>
              <w:rPr/>
              <w:t>Year Ending December 31, 2026</w:t>
            </w:r>
          </w:p>
        </w:tc>
        <w:tc>
          <w:tcPr>
            <w:tcW w:w="159" w:type="dxa"/>
            <w:tcBorders/>
            <w:vAlign w:val="bottom"/>
          </w:tcPr>
          <w:p>
            <w:pPr>
              <w:pStyle w:val="TableContents"/>
              <w:bidi w:val="0"/>
              <w:spacing w:before="0" w:after="283"/>
              <w:jc w:val="left"/>
              <w:rPr/>
            </w:pPr>
            <w:r>
              <w:rPr/>
              <w:t> </w:t>
            </w:r>
          </w:p>
        </w:tc>
      </w:tr>
      <w:tr>
        <w:trPr/>
        <w:tc>
          <w:tcPr>
            <w:tcW w:w="65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pPr>
            <w:r>
              <w:rPr/>
              <w:t>Low</w:t>
            </w:r>
          </w:p>
        </w:tc>
        <w:tc>
          <w:tcPr>
            <w:tcW w:w="30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pPr>
            <w:r>
              <w:rPr/>
              <w:t>High</w:t>
            </w:r>
          </w:p>
        </w:tc>
        <w:tc>
          <w:tcPr>
            <w:tcW w:w="159" w:type="dxa"/>
            <w:tcBorders/>
            <w:vAlign w:val="bottom"/>
          </w:tcPr>
          <w:p>
            <w:pPr>
              <w:pStyle w:val="TableContents"/>
              <w:bidi w:val="0"/>
              <w:spacing w:before="0" w:after="283"/>
              <w:jc w:val="left"/>
              <w:rPr/>
            </w:pPr>
            <w:r>
              <w:rPr/>
              <w:t> </w:t>
            </w:r>
          </w:p>
        </w:tc>
      </w:tr>
      <w:tr>
        <w:trPr/>
        <w:tc>
          <w:tcPr>
            <w:tcW w:w="6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(GAAP)</w:t>
            </w:r>
          </w:p>
        </w:tc>
        <w:tc>
          <w:tcPr>
            <w:tcW w:w="21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600</w:t>
            </w:r>
          </w:p>
        </w:tc>
        <w:tc>
          <w:tcPr>
            <w:tcW w:w="30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700</w:t>
            </w:r>
          </w:p>
        </w:tc>
        <w:tc>
          <w:tcPr>
            <w:tcW w:w="159" w:type="dxa"/>
            <w:tcBorders/>
            <w:shd w:fill="CCEEFF" w:val="clear"/>
            <w:vAlign w:val="bottom"/>
          </w:tcPr>
          <w:p>
            <w:pPr>
              <w:pStyle w:val="TableContents"/>
              <w:bidi w:val="0"/>
              <w:spacing w:before="0" w:after="283"/>
              <w:jc w:val="left"/>
              <w:rPr/>
            </w:pPr>
            <w:r>
              <w:rPr/>
              <w:t> </w:t>
            </w:r>
          </w:p>
        </w:tc>
      </w:tr>
      <w:tr>
        <w:trPr/>
        <w:tc>
          <w:tcPr>
            <w:tcW w:w="6567"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135</w:t>
            </w:r>
          </w:p>
        </w:tc>
        <w:tc>
          <w:tcPr>
            <w:tcW w:w="30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185</w:t>
            </w:r>
          </w:p>
        </w:tc>
        <w:tc>
          <w:tcPr>
            <w:tcW w:w="159" w:type="dxa"/>
            <w:tcBorders/>
            <w:shd w:fill="CCEEFF" w:val="clear"/>
            <w:vAlign w:val="bottom"/>
          </w:tcPr>
          <w:p>
            <w:pPr>
              <w:pStyle w:val="TableContents"/>
              <w:bidi w:val="0"/>
              <w:spacing w:before="0" w:after="283"/>
              <w:jc w:val="left"/>
              <w:rPr/>
            </w:pPr>
            <w:r>
              <w:rPr/>
              <w:t> </w:t>
            </w:r>
          </w:p>
        </w:tc>
      </w:tr>
      <w:tr>
        <w:trPr/>
        <w:tc>
          <w:tcPr>
            <w:tcW w:w="656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 (a)</w:t>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255</w:t>
            </w:r>
          </w:p>
        </w:tc>
        <w:tc>
          <w:tcPr>
            <w:tcW w:w="30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245</w:t>
            </w:r>
          </w:p>
        </w:tc>
        <w:tc>
          <w:tcPr>
            <w:tcW w:w="159" w:type="dxa"/>
            <w:tcBorders/>
            <w:vAlign w:val="bottom"/>
          </w:tcPr>
          <w:p>
            <w:pPr>
              <w:pStyle w:val="TableContents"/>
              <w:bidi w:val="0"/>
              <w:spacing w:before="0" w:after="283"/>
              <w:jc w:val="left"/>
              <w:rPr/>
            </w:pPr>
            <w:r>
              <w:rPr/>
              <w:t> </w:t>
            </w:r>
          </w:p>
        </w:tc>
      </w:tr>
      <w:tr>
        <w:trPr/>
        <w:tc>
          <w:tcPr>
            <w:tcW w:w="6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1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220</w:t>
            </w:r>
          </w:p>
        </w:tc>
        <w:tc>
          <w:tcPr>
            <w:tcW w:w="30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210</w:t>
            </w:r>
          </w:p>
        </w:tc>
        <w:tc>
          <w:tcPr>
            <w:tcW w:w="159" w:type="dxa"/>
            <w:tcBorders/>
            <w:shd w:fill="CCEEFF" w:val="clear"/>
            <w:vAlign w:val="bottom"/>
          </w:tcPr>
          <w:p>
            <w:pPr>
              <w:pStyle w:val="TableContents"/>
              <w:bidi w:val="0"/>
              <w:spacing w:before="0" w:after="283"/>
              <w:jc w:val="left"/>
              <w:rPr/>
            </w:pPr>
            <w:r>
              <w:rPr/>
              <w:t> </w:t>
            </w:r>
          </w:p>
        </w:tc>
      </w:tr>
      <w:tr>
        <w:trPr/>
        <w:tc>
          <w:tcPr>
            <w:tcW w:w="656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80</w:t>
            </w:r>
          </w:p>
        </w:tc>
        <w:tc>
          <w:tcPr>
            <w:tcW w:w="30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80</w:t>
            </w:r>
          </w:p>
        </w:tc>
        <w:tc>
          <w:tcPr>
            <w:tcW w:w="159" w:type="dxa"/>
            <w:tcBorders/>
            <w:vAlign w:val="bottom"/>
          </w:tcPr>
          <w:p>
            <w:pPr>
              <w:pStyle w:val="TableContents"/>
              <w:bidi w:val="0"/>
              <w:spacing w:before="0" w:after="283"/>
              <w:jc w:val="left"/>
              <w:rPr/>
            </w:pPr>
            <w:r>
              <w:rPr/>
              <w:t> </w:t>
            </w:r>
          </w:p>
        </w:tc>
      </w:tr>
      <w:tr>
        <w:trPr/>
        <w:tc>
          <w:tcPr>
            <w:tcW w:w="6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Recognition of the stepped-up basis in inventory (b)</w:t>
            </w:r>
          </w:p>
        </w:tc>
        <w:tc>
          <w:tcPr>
            <w:tcW w:w="21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75</w:t>
            </w:r>
          </w:p>
        </w:tc>
        <w:tc>
          <w:tcPr>
            <w:tcW w:w="30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75</w:t>
            </w:r>
          </w:p>
        </w:tc>
        <w:tc>
          <w:tcPr>
            <w:tcW w:w="159" w:type="dxa"/>
            <w:tcBorders/>
            <w:shd w:fill="CCEEFF" w:val="clear"/>
            <w:vAlign w:val="bottom"/>
          </w:tcPr>
          <w:p>
            <w:pPr>
              <w:pStyle w:val="TableContents"/>
              <w:bidi w:val="0"/>
              <w:spacing w:before="0" w:after="283"/>
              <w:jc w:val="left"/>
              <w:rPr/>
            </w:pPr>
            <w:r>
              <w:rPr/>
              <w:t> </w:t>
            </w:r>
          </w:p>
        </w:tc>
      </w:tr>
      <w:tr>
        <w:trPr/>
        <w:tc>
          <w:tcPr>
            <w:tcW w:w="6567" w:type="dxa"/>
            <w:tcBorders/>
          </w:tcPr>
          <w:p>
            <w:pPr>
              <w:pStyle w:val="TableContents"/>
              <w:bidi w:val="0"/>
              <w:spacing w:before="0" w:after="0"/>
              <w:jc w:val="left"/>
              <w:rPr>
                <w:rFonts w:ascii="Times New Roman" w:hAnsi="Times New Roman"/>
                <w:sz w:val="20"/>
              </w:rPr>
            </w:pPr>
            <w:r>
              <w:rPr>
                <w:rFonts w:ascii="Times New Roman" w:hAnsi="Times New Roman"/>
                <w:sz w:val="20"/>
              </w:rPr>
              <w:t>Acquisition-related expenses (c)</w:t>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45</w:t>
            </w:r>
          </w:p>
        </w:tc>
        <w:tc>
          <w:tcPr>
            <w:tcW w:w="30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35</w:t>
            </w:r>
          </w:p>
        </w:tc>
        <w:tc>
          <w:tcPr>
            <w:tcW w:w="159" w:type="dxa"/>
            <w:tcBorders/>
            <w:vAlign w:val="bottom"/>
          </w:tcPr>
          <w:p>
            <w:pPr>
              <w:pStyle w:val="TableContents"/>
              <w:bidi w:val="0"/>
              <w:spacing w:before="0" w:after="283"/>
              <w:jc w:val="left"/>
              <w:rPr/>
            </w:pPr>
            <w:r>
              <w:rPr/>
              <w:t> </w:t>
            </w:r>
          </w:p>
        </w:tc>
      </w:tr>
      <w:tr>
        <w:trPr/>
        <w:tc>
          <w:tcPr>
            <w:tcW w:w="6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(d)</w:t>
            </w:r>
          </w:p>
        </w:tc>
        <w:tc>
          <w:tcPr>
            <w:tcW w:w="21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30</w:t>
            </w:r>
          </w:p>
        </w:tc>
        <w:tc>
          <w:tcPr>
            <w:tcW w:w="30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30</w:t>
            </w:r>
          </w:p>
        </w:tc>
        <w:tc>
          <w:tcPr>
            <w:tcW w:w="159" w:type="dxa"/>
            <w:tcBorders/>
            <w:shd w:fill="CCEEFF" w:val="clear"/>
            <w:vAlign w:val="bottom"/>
          </w:tcPr>
          <w:p>
            <w:pPr>
              <w:pStyle w:val="TableContents"/>
              <w:bidi w:val="0"/>
              <w:spacing w:before="0" w:after="283"/>
              <w:jc w:val="left"/>
              <w:rPr/>
            </w:pPr>
            <w:r>
              <w:rPr/>
              <w:t> </w:t>
            </w:r>
          </w:p>
        </w:tc>
      </w:tr>
      <w:tr>
        <w:trPr/>
        <w:tc>
          <w:tcPr>
            <w:tcW w:w="6567"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 (e)</w:t>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(10</w:t>
            </w:r>
          </w:p>
        </w:tc>
        <w:tc>
          <w:tcPr>
            <w:tcW w:w="30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6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&amp; One-Time expenses (f)</w:t>
            </w:r>
          </w:p>
        </w:tc>
        <w:tc>
          <w:tcPr>
            <w:tcW w:w="21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30</w:t>
            </w:r>
          </w:p>
        </w:tc>
        <w:tc>
          <w:tcPr>
            <w:tcW w:w="30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20</w:t>
            </w:r>
          </w:p>
        </w:tc>
        <w:tc>
          <w:tcPr>
            <w:tcW w:w="159" w:type="dxa"/>
            <w:tcBorders/>
            <w:shd w:fill="CCEEFF" w:val="clear"/>
            <w:vAlign w:val="bottom"/>
          </w:tcPr>
          <w:p>
            <w:pPr>
              <w:pStyle w:val="TableContents"/>
              <w:bidi w:val="0"/>
              <w:spacing w:before="0" w:after="283"/>
              <w:jc w:val="left"/>
              <w:rPr/>
            </w:pPr>
            <w:r>
              <w:rPr/>
              <w:t> </w:t>
            </w:r>
          </w:p>
        </w:tc>
      </w:tr>
      <w:tr>
        <w:trPr/>
        <w:tc>
          <w:tcPr>
            <w:tcW w:w="6567" w:type="dxa"/>
            <w:tcBorders/>
          </w:tcPr>
          <w:p>
            <w:pPr>
              <w:pStyle w:val="TableContents"/>
              <w:bidi w:val="0"/>
              <w:spacing w:before="0" w:after="0"/>
              <w:jc w:val="left"/>
              <w:rPr>
                <w:rFonts w:ascii="Times New Roman" w:hAnsi="Times New Roman"/>
                <w:sz w:val="20"/>
              </w:rPr>
            </w:pPr>
            <w:r>
              <w:rPr>
                <w:rFonts w:ascii="Times New Roman" w:hAnsi="Times New Roman"/>
                <w:sz w:val="20"/>
              </w:rPr>
              <w:t>Other (g)</w:t>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5</w:t>
            </w:r>
          </w:p>
        </w:tc>
        <w:tc>
          <w:tcPr>
            <w:tcW w:w="30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w:t>
            </w:r>
          </w:p>
        </w:tc>
        <w:tc>
          <w:tcPr>
            <w:tcW w:w="159" w:type="dxa"/>
            <w:tcBorders/>
            <w:vAlign w:val="bottom"/>
          </w:tcPr>
          <w:p>
            <w:pPr>
              <w:pStyle w:val="TableContents"/>
              <w:bidi w:val="0"/>
              <w:spacing w:before="0" w:after="283"/>
              <w:jc w:val="left"/>
              <w:rPr/>
            </w:pPr>
            <w:r>
              <w:rPr/>
              <w:t> </w:t>
            </w:r>
          </w:p>
        </w:tc>
      </w:tr>
      <w:tr>
        <w:trPr/>
        <w:tc>
          <w:tcPr>
            <w:tcW w:w="6567"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21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1,465</w:t>
            </w:r>
          </w:p>
        </w:tc>
        <w:tc>
          <w:tcPr>
            <w:tcW w:w="30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1,575</w:t>
            </w:r>
          </w:p>
        </w:tc>
        <w:tc>
          <w:tcPr>
            <w:tcW w:w="159" w:type="dxa"/>
            <w:tcBorders/>
            <w:shd w:fill="CCEEFF" w:val="clear"/>
            <w:vAlign w:val="bottom"/>
          </w:tcPr>
          <w:p>
            <w:pPr>
              <w:pStyle w:val="TableContents"/>
              <w:bidi w:val="0"/>
              <w:spacing w:before="0" w:after="283"/>
              <w:jc w:val="left"/>
              <w:rPr/>
            </w:pPr>
            <w:r>
              <w:rPr/>
              <w:t> </w:t>
            </w:r>
          </w:p>
        </w:tc>
      </w:tr>
      <w:tr>
        <w:trPr/>
        <w:tc>
          <w:tcPr>
            <w:tcW w:w="6567"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67"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 (GAAP)</w:t>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1,025</w:t>
            </w:r>
          </w:p>
        </w:tc>
        <w:tc>
          <w:tcPr>
            <w:tcW w:w="30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1,125</w:t>
            </w:r>
          </w:p>
        </w:tc>
        <w:tc>
          <w:tcPr>
            <w:tcW w:w="159" w:type="dxa"/>
            <w:tcBorders/>
            <w:vAlign w:val="bottom"/>
          </w:tcPr>
          <w:p>
            <w:pPr>
              <w:pStyle w:val="TableContents"/>
              <w:bidi w:val="0"/>
              <w:spacing w:before="0" w:after="283"/>
              <w:jc w:val="left"/>
              <w:rPr/>
            </w:pPr>
            <w:r>
              <w:rPr/>
              <w:t> </w:t>
            </w:r>
          </w:p>
        </w:tc>
      </w:tr>
      <w:tr>
        <w:trPr/>
        <w:tc>
          <w:tcPr>
            <w:tcW w:w="6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Deductions to reconcile to Adjusted free cash flow:</w:t>
            </w:r>
          </w:p>
        </w:tc>
        <w:tc>
          <w:tcPr>
            <w:tcW w:w="21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67" w:type="dxa"/>
            <w:tcBorders/>
          </w:tcPr>
          <w:p>
            <w:pPr>
              <w:pStyle w:val="TableContents"/>
              <w:bidi w:val="0"/>
              <w:spacing w:before="0" w:after="0"/>
              <w:jc w:val="left"/>
              <w:rPr>
                <w:rFonts w:ascii="Times New Roman" w:hAnsi="Times New Roman"/>
                <w:sz w:val="20"/>
              </w:rPr>
            </w:pPr>
            <w:r>
              <w:rPr>
                <w:rFonts w:ascii="Times New Roman" w:hAnsi="Times New Roman"/>
                <w:sz w:val="20"/>
              </w:rPr>
              <w:t>Additions of long-lived assets (h)</w:t>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(280</w:t>
            </w:r>
          </w:p>
        </w:tc>
        <w:tc>
          <w:tcPr>
            <w:tcW w:w="30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(260</w:t>
            </w:r>
          </w:p>
        </w:tc>
        <w:tc>
          <w:tcPr>
            <w:tcW w:w="159" w:type="dxa"/>
            <w:tcBorders/>
            <w:vAlign w:val="bottom"/>
          </w:tcPr>
          <w:p>
            <w:pPr>
              <w:pStyle w:val="TableContents"/>
              <w:bidi w:val="0"/>
              <w:spacing w:before="0" w:after="283"/>
              <w:jc w:val="left"/>
              <w:rPr/>
            </w:pPr>
            <w:r>
              <w:rPr/>
              <w:t>) </w:t>
            </w:r>
          </w:p>
        </w:tc>
      </w:tr>
      <w:tr>
        <w:trPr/>
        <w:tc>
          <w:tcPr>
            <w:tcW w:w="6567"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free cash flow (Non-GAAP)</w:t>
            </w:r>
          </w:p>
        </w:tc>
        <w:tc>
          <w:tcPr>
            <w:tcW w:w="21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745</w:t>
            </w:r>
          </w:p>
        </w:tc>
        <w:tc>
          <w:tcPr>
            <w:tcW w:w="30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865</w:t>
            </w:r>
          </w:p>
        </w:tc>
        <w:tc>
          <w:tcPr>
            <w:tcW w:w="159" w:type="dxa"/>
            <w:tcBorders/>
            <w:shd w:fill="CCEEFF" w:val="clear"/>
            <w:vAlign w:val="bottom"/>
          </w:tcPr>
          <w:p>
            <w:pPr>
              <w:pStyle w:val="TableContents"/>
              <w:bidi w:val="0"/>
              <w:spacing w:before="0" w:after="283"/>
              <w:jc w:val="left"/>
              <w:rPr/>
            </w:pPr>
            <w:r>
              <w:rPr/>
              <w:t> </w:t>
            </w:r>
          </w:p>
        </w:tc>
      </w:tr>
      <w:tr>
        <w:trPr/>
        <w:tc>
          <w:tcPr>
            <w:tcW w:w="6567"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the stepped-up basis in property, plant and equipment related to the Acquisition (recorded in Cost of sales).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recognition of the stepped-up basis in inventory related to the Acquisition (recorded in Cost of sales).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expenses (recorded in Selling, general and administrative), primarily consulting and legal fees, related to the Acquisition.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stock-based compensation expense (recorded in Cost of sales, Selling, general and administrative, and Engineering — research and development).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gains (recorded in Other (expense) income, net) related to an investment in common stock of Jing-Jin Electric Technologies Co. Ltd.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one-time restructuring costs, minority interest and one-time employee retention costs.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other adjustments as defined by the Second Amended and Restated Credit Agreement dated as of March 29, 2019 as amended.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one-time Acquisition-related investments.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6"/>
        <w:gridCol w:w="131"/>
        <w:gridCol w:w="3288"/>
        <w:gridCol w:w="131"/>
        <w:gridCol w:w="3129"/>
      </w:tblGrid>
      <w:tr>
        <w:trPr/>
        <w:tc>
          <w:tcPr>
            <w:tcW w:w="352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26"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center"/>
              <w:rPr/>
            </w:pPr>
            <w:r>
              <w:rPr/>
              <w:t>12</w:t>
            </w:r>
          </w:p>
        </w:tc>
        <w:tc>
          <w:tcPr>
            <w:tcW w:w="131"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TextBody"/>
        <w:bidi w:val="0"/>
        <w:jc w:val="center"/>
        <w:rPr/>
      </w:pPr>
      <w:bookmarkStart w:id="4" w:name="d95413dex992.htm"/>
      <w:bookmarkStart w:id="5" w:name="ksd95413dex992"/>
      <w:bookmarkEnd w:id="4"/>
      <w:bookmarkEnd w:id="5"/>
      <w:r>
        <w:rPr/>
        <w:drawing>
          <wp:inline distT="0" distB="0" distL="0" distR="0">
            <wp:extent cx="2567940" cy="1984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67940" cy="19843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Q2 2026 Earnings Release August 3, 2026 Dave Graziosi – Chair, President &amp; CEO Scott Mell – CFO &amp; Treasurer Fred Bohley – COO &amp; Allison Transmission President 1 Allison Transmission Confidential: Business Use Only Craig Price – Allison Off-Highway President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Safe Harbor Statement The following information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 looking statements are subject to numerous risks and uncertainties, including, but not limited to: the significant costs we are expected to incur in connection with the integration of the Off-Highway Drive &amp; Motion Systems business of Dana Incorporated (now referred to as the “Allison Off-Highway Business”); our ability to successfully integrate the Allison Off- Highway Business and its operations in the expected time frame; our ability to realize all of the anticipated benefits from the integration of the Allison Off-Highway Business and its operations and to effectively manage our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customers;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 Allison cannot assure you that the assumptions made in preparing any of the forward-looking statements will prove accurate or that any long-term financial goals will be realized. All forward-looking statements included in this presentation speak only as of the date made, and Allison undertakes no obligation to update or revise publicly any such forward-looking statements, whether as a result of new information, future events, or otherwise. In particular, Allison cautions you not to place undue weight on certain forward-looking statements pertaining to potential growth opportunities or long-term financial goals set forth herein. Actual results may vary significantly from these statements. Allison business is subject to numerous risks and uncertainties, which may cause future results of operations to vary significantly from those presented herein. Important factors that could cause actual results to differ materially are discussed in Allison Annual Report on Form 10-K for the year ended December 31, 2025. 2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Financial Information We use adjusted earnings before interest, taxes, depreciation, and amortization (“EBITDA”) and adjusted EBITDA as a percent of net sales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Adjusted EBITDA margin is also used in the calculation of management’s incentive compensation program. The most directly comparable GAAP measure to adjusted EBITDA and adjusted EBITDA margin is net income or segment operating profit (loss) in the case of our segments and net income as a percent of net sales (“net income margin”) or segment operating profit (loss) as a percent of net sales in the case of our segments,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governing Allison Transmission, Inc.’s term loans and revolving credit facility. Adjusted EBITDA margin is calculated as adjusted EBITDA divided by net sales. In addition, we believe adjusted net income, adjusted basic earnings per share attributable to common stockholders (“adjusted basic EPS”) and adjusted diluted earnings per share attributable to common stockholders (“adjusted diluted EPS ) provide management, investors and creditors with useful measures of our core business performance and trends and increase the period-to-period comparability of our results of operations. The most directly comparable GAAP measure to adjusted net income, adjusted basic EPS and adjusted diluted EPS is net income, basic earnings per share attributable to common stockholders (“basic EPS”) and diluted earnings per share attributable to common stockholders (“diluted EPS ), respectively. Adjusted net income is calculated as net income excluding the effect of certain non-cash, non-recurring, infrequent or unusual items such as: amortization related to acquired intangible assets, depreciation of the stepped-up basis in property, plant and equipment related to acquired assets, stepped-up basis in acquired inventory, stock-based compensation expense, acquisition-related expenses, impairment charges, other one-off adjustments and the tax effect of the adjustments. Adjusted basic EPS is calculated by dividing adjustednet income by the weighted average shares of common stock outstanding and adjusted diluted EPS is calculated by dividing adjusted net income by the diluted weighted average shares of common stock outstanding. 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cash used for additions of long-lived assets. 3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Call Agenda − Q2 Business Update − Q2 Business Units Net Sales Performance &amp; Strategy Update − Synergy Capture − Q2 Financial Performance − 2026 Guidance Update 4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Allison Business Update ($ in millions, variance % from Q2 2025) Allison in Action Q2 2026 End Market Performance § Content-rich platform highlighting the value we provide to our customers, the trust they place in Allison products and the measurable impact our solutions offer across a broad range of industries and markets § Site brings together compelling customer stories from around the world, showcasing in-depth testimonials, Net Sales engaging multimedia content, product achievements and real-world business outcomes that demonstrate the Year-over-year increase driven by value Allison delivers every day addition of the Allison Off-Highway § Supplemental to corporate press releases, providing investors, customers, partners and other stakeholders business unit and 6 percent greater visibility into the global momentum that continues to drive our long-term growth $1,566 increase in the Allison Transmission business unit Allison in Action Site: allisontransmission.com/action +92% Allison in Action Email Alert: ir.allisontransmission.com/investor-resources/email-alerts Recent Announcements – Programs Supporting Defense Growth Business Unit End Market Commentary BAE Hägglunds CV90 MkIV Infantry EAGLE V 6x6 Medium Armored Zetros by Arquus 6x6 Tactical Truck Fighting Vehicle Ambulance Vehicle Allison Transmission § Record quarterly revenue of $860 million, up 6% year-over-year § Continued strength in Defense end market, with second quarter revenue up 57% year-over-year to $99 million § Expect sequential improvement in North America On-Highway end market in 2H’26, primarily driven by medium-duty and Class 8 vocational trucks Allison Off-Highway § Quarterly revenue of $706 million with all end markets up year-over-year, except Agriculture end market which has yet to inflect positively, particularly in the § French Land Forces PL6T § $250M contract with BAE § Order with General Dynamics modernization program awarded Hägglunds to supply Allison 4040 European Land Systems (GDELS) Americas region to Zetros by Arquus tactical truck MX cross-drive transmissions for approximately 3,000 EAGLE V § Year-over-year improvement in Europe for Construction &amp; Material Handling end § Allison 4500 Specialty Series for CV90 MkIV program with armored vehicles (contract market, while the Americas region remains soft for construction fully automatic transmission option for additional units valued includes option for up to 2,000 will be standard offering in at $50M with deliveries beginning additional vehicles) with deliveries § Continued strength in Mining end market driven by elevated commodity prices truck in 2028 beginning in 2027 § Achieved notable program wins in 1H’26 representing over $50 million of annual § PL6T program will produce and § Inaugural production platform § Allison 2500 Specialty Series deliver 7,000 trucks over a period for 4040 MX transmission and fully automatic transmission is run-rate net new business across Construction &amp; Material Handling, Mining and of more than 10 years with largest tracked defense order in exclusive option for all EAGLE Agriculture end markets deliveries beginning in 2027 Allison history variants 5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Net Sales Performance – Allison Transmission ($ in millions, variance % from Q2 2025) End Markets Q2 2026 Variance Commentary Market is showing signs of improvement although uncertainty persists around geopolitical impacts, including tariffs, and emissions regulations. Class 8 vocational North America On-Hwy $430 3% truck demand driven by infrastructure spending and megaprojects. Medium-duty truck demand impacted by consumer spending and overall macroeconomic health. European Union economic stabilization remains uncertain due to ongoing conflict in the Middle East. Penetration initiatives in Asia Pacific with near-term impacted Outside North America On-Hwy $132 (7%) by regional economic differences. Trend of increased automaticity drives long- term growth opportunities. Implications for hydraulic frac due to conflict in Middle East uncertain. Mining Global Off-Hwy 38% $22 strong due to elevated commodity prices and global growth initiatives. Continued strength from International customers, primarily in tracked programs, with both new and legacy products. Growth outlook bullish with global defense Defense $99 57% budgets increasing and national security more relevant to nations. Global parts outlook impacted by increased fleet ages across multiple sectors Service Parts, Support 1% and fielded population outside of warranty. Support equipment driven by $177 Equipment &amp; Other transmission volume. Total 6% $860 6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Net Sales Performance – Allison Off-Highway ($ in millions) End Markets Q2 2026 Commentary Global construction markets seeing steadier investments, while rate-sensitive residential segments lag. Construction &amp; Material European construction activity is showing signs of strength, althought the potential impacts of the conflict $249 in the Middle East remain uncertain. Americas construction weak due to lower telehandler production. Handling Warehousing and e-commerce activities driving demand for fork trucks. Commodity prices remain low, and the potential effects of the conflict in the Middle East are still Agriculture uncertain. High-horsepower equipment demand is soft, with farm margins playing a critical role in $152 purchase decisions. Meanwhile, low-horsepower segments continue to grow in India. Large machine projects, industrial output and manufacturing health driven by interest rate Industrial $99 environment. Mineral prices, including key commodities such as gold, copper and rare-earth minerals remain Mining $54 elevated globally, driving demand for equipment. Service Parts, Specialty &amp; Increased fleet ages across multiple sectors impacting global parts outlook. $152 Other Total $706 7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Allison Off-Highway Acquisition – Synergy Capture Source of Savings and % of Expected $120M Annual Run-Rate Synergy Realization Progress &amp; Timing Procurement &amp; Logistics 2027 40% Captured § Strategic sourcing for purchased components § Increased vertical integration / insourcing opportunities 2028 60% 80% Captured § Optimize scale and category leverage Operations &amp; Footprint Optimization 90% § Agile and lean manufacturing In Execution Stage § Manufacturing with more “Local for Local” production 20% § Expanding “Best Cost Country” practices 2029 100% Captured SG&amp;A / People § Expectation of annual run-rate synergies of ~$48M by end of 2027 § SG&amp;A optimization via buying leverage § Global talent strategy § 90% of identified $120M annual run-rate synergies currently 20% in-flight with resource planning completed and capital § Transformation of operating model appropriated 8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   Q2 2026 Allison Consolidated Financial Performance ($ in millions, except per share data) Net Sales Adj. EBITDA* Adj. Diluted EPS** Adj. Free Cash Flow*** AOH 25.8% +8% +84% Margin AT AT Consolidated Adjusted Free Cash Net Sales increased 92% year- Consolidated Adjusted EBITDA Adjusted Diluted EPS Flow increased 84% year-over-year over-year, including the addition of $404 million, with Adjusted increased 8% year-over-year to quarterly record of $281 million, of the Allison Off-Highway EBITDA margin of 25.8% to $2.73 despite cost pressures business unit acquired on January 1, 2026 Year-over-year Adjusted Q2 2025 diluted shares Capital Expenditures of $31 million flat year-over-year EBITDA increased $91 outstanding of 85 million and Allison Transmission revenue million, primarily driven by Q2 2026 diluted shares Q2 2026 Capital Allocation increased 6% year-over-year the addition of the Allison outstanding of 84 million Repaid remaining $150 million to quarterly record of $860 Off-Highway business unit outstanding on revolving credit facility $46 million of share repurchases million $24 million dividend payments Net Income: $181, 11.6% of Net Sales in Q2 2026 and Net Cash Provided by Operating Activities: $312 in Q2 Diluted EPS: $2.15 in Q2 2026 and $2.29 in Q2 2025 $195, 24.0% of Net Sales in Q2 2025 2026 and $184 in Q2 2025 *See Appendix for the reconciliation from Net Income and Net Income as a percentage of Net Sales **See Appendix for the reconciliation from Net Income to Adjusted Net Income, Basic EPS to Adjusted Basic EPS and Diluted EPS to Adjusted Diluted EPS 9 Allison Transmission Confidential: Business Use Only ***See Appendix for the reconciliation from Net Cash Provided by Operating Activities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Allison Segment Financial Performance ($ in millions) Allison Transmission Allison Off-Highway Allison Central Group Consolidated Net Sales $860 $706 - $1,566 Gross Profit $397 $118 - $515 Gross Margin 46.2% 16.7% - 32.9% Operating Income / (Loss) $281 $47 ($37) $291 Operating Income / (Loss) as a % of Net Sales 32.7% 6.7% - 18.6% Adjusted EBITDA* $318 $104 ($18) $404 Adjusted EBITDA Margin* 37.0% 14.7% - 25.8% *See Appendix for the reconciliation from Segment Operating Income / (Loss) and Segment Operating Income / (Loss) as a percentage of Net Sales 10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Full Year 2026 Guidance Update ($ in millions) Prior Guide Updated Guide (May 4, 2026) (August 3, 2026) $5,575 to $5,925 $5,800 to $6,000 Net Sales $5,750 Midpoint $5,900 Midpoint $600 to $750 $600 to $700 Net Income* $675 Midpoint $650 Midpoint $1,365 to $1,515 $1,465 to $1,575 Adjusted EBITDA** $1,440 Midpoint $1,520 Midpoint Net Cash Provided by $970 to $1,100 $1,025 to $1,125 Operating Activities $1,035 Midpoint $1,075 Midpoint $295 to $315 $260 to $280 Capital Expenditures $305 Midpoint $270 Midpoint $655 to $805 $745 to $865 Adjusted Free Cash Flow** $730 Midpoint $805 Midpoint *Subject to the completion of purchase price accounting associated with the acquisition of the Allison Off-Highway business unit. Net Income guidance includes additional non-cash cost associated with the Allison Off-Highway acquisition. 11 Allison Transmission Confidential: Business Use Only **See Appendix for the Guidance Reconciliation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Non-GAAP Financial Information 12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Reconciliations (1 of 5) Adjusted EBITDA Reconciliation Three months ended $ in millions, Unaudited For the year ended December 31, June 30, 2021 2022 2023 2024 2025 2025 2026 Net income (GAAP) $442 $531 $673 $731 $623 $195 $181 plus: Interest expense, net 116 118 107 89 92 22 54 Income tax expense 130 114 154 166 181 47 47 Depreciation of property, plant and equipment 104 109 109 111 117 29 46 Amortization of intangible assets 46 46 45 10 7 1 21 Depreciation related to stepped-up basis in assets — — — — — — 18 Unrealized (gain) loss on marketable securities (4) 22 1 9 (12) (5) 12 Acquisition-related expenses — — — — 64 15 9 Stock-based compensation expense 14 18 22 26 27 8 10 Loss associated with impairment of long-lived assets — — — 1 29 — 2 UAW Local 933 contract signing incentives — — — 14 — — — Pension plan settlement loss — — — 4 — — — Other (4) 3 (3) 42 14 Adjusted EBITDA (Non-GAAP) $844 $961 $1,108 $1,165 $1,130 $313 $404 Net sales (GAAP) $2,402 $2,769 $3,035 $3,225 $3,010 $814 $1,566 Net income as a percent of Net sales (GAAP) 18.4% 19.2% 22.2% 22.7% 20.7% 24.0% 11.6% Adjusted EBITDA as a percent of Net sales (Non-GAAP) 35.1% 34.7% 36.5% 36.1% 37.5% 38.5% 25.8% Three months ended June 30, 2026 includes the addition of the Allison Off-Highway business unit. All other time periods shown reflect only the legacy Allison Transmission business unit. 13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Reconciliations (2 of 5) Segment Adjusted EBITDA Reconciliation ($ in millions) Allison Transmission Allison Off-Highway Central Group Function Consolidated Three months ended Three months ended Three months ended Three months ended June 30, June 30, June 30, June 30, 2026 2026 2026 2026 2025 Segment Operating Profit/(Loss) (GAAP) $ 281 $ 47 $ (37) $ 291 $ 2 56 plus: Depreciation of property, plant and equipment 31 15 - 4 6 29 Amortization expense - 21 - 2 1 1 Acquisition-related expenses - - 9 9 15 Depreciation of the stepped up basis in property, plant and equipment - 18 - 1 8 - Stock-based compensation expense - - 10 1 0 8 Loss associated with the impariment of long-lived assets 2 - - 2 - Other 4 3 - 7 4 Adjusted EBITDA (Non-GAAP) $ 318 $ 104 $ (18) $ 404 $ 313 Net sales (GAAP) $ 860 $ 706 $ - $ 1,566 $ 814 Segment Operating Profit/(Loss) as a percent of Net sales (GAAP) 32.7% 6.7% - 18.6% 31.4% Adjusted EBITDA as a percent of Net sales (Non-GAAP) 37.0% 14.7% - 25.8% 38.5% 14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Reconciliations (3 of 5) Adjusted Net Income and Earnings Per Share Reconciliation $ in millions Three months ended June 30, 2026 2025 Net income (GAAP) $ 181 $ 195 plus: Amortization expense 21 1 Depreciation of the stepped up basis in property, plant and equipment 18 - Acquisition-related expenses 9 15 Stock-based compensation expense 10 8 Loss associated with impairment of long-lived assets 2 - Income tax effect on adjustments (12) (5) Adjusted net income (Non-GAAP) $ 229 $ 214 Basic EPS (GAAP) $ 2.18 $ 2.32 Diluted EPS (GAAP) $ 2.15 $ 2.29 Adjusted basic EPS (Non-GAAP) $ 2.76 $ 2.55 Adjusted diluted EPS (Non-GAAP) $ 2.73 $ 2.52 Three months ended June 30, 2026 includes the addition of the Allison Off-Highway business unit. 15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Reconciliations (4 of 5) Adjusted Free Cash Flow Reconciliation Three months ended $ in millions, Unaudited For the year ended December 31, June 30, 2021 2022 2023 2024 2025 2025 2026 Net cash provided by operating activities (GAAP) $635 $657 $784 $801 $836 $184 $312 (Deductions) Long-lived assets (175) (167) (125) (143) (175) (31) (31) Adjusted free cash flow (Non-GAAP) $460 $490 $659 $658 $661 $153 $281 Three months ended June 30, 2026 includes the addition of the Allison Off-Highway business unit. All other time periods shown reflect only the legacy Allison Transmission business unit. 16 Allison Transmission Confidential: Business Use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Reconciliations (5 of 5) Guidance Reconciliation $ in millions Guidance Year Ending December 31, 2026 Low High Net income (GAAP) $ 600 $ 700 plus: Income tax expense 135 185 Depreciation of property, plant and equipment 255 245 Interest expense, net 220 210 Amortization of intangible assets 80 80 Recognition of the stepped-up basis in inventory 75 75 Acquisition-related expenses 45 35 Stock-based compensation expense 30 30 Unrealized gain on marketable securities (10) (10) Restructuring &amp; One-Time expenses 30 20 Other 5 5 Adjusted EBITDA (Non-GAAP) $ 1,465 $ 1,575 Net cash provided by Operating activities (GAAP) $ 1,025 $ 1,125 Deductions to reconcile to Adjusted free cash flow: Additions of long-lived assets $ (280) $ (260) Adjusted free cash flow (Non-GAAP) $ 745 $ 865 17 Allison Transmission Confidential: Business Use Only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9323</Words>
  <Characters>51650</Characters>
  <CharactersWithSpaces>62784</CharactersWithSpaces>
  <Paragraphs>3718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