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615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615305"/>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20" w:space="280"/>
            <w:col w:w="8480"/>
          </w:cols>
          <w:pgMar w:left="460" w:top="217" w:right="359" w:bottom="332"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BARBOUR D. SCOTT</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20"/>
        <w:spacing w:after="0" w:line="341" w:lineRule="auto"/>
        <w:rPr>
          <w:sz w:val="20"/>
          <w:szCs w:val="20"/>
          <w:color w:val="auto"/>
        </w:rPr>
      </w:pPr>
      <w:r>
        <w:rPr>
          <w:rFonts w:ascii="Times New Roman" w:cs="Times New Roman" w:eastAsia="Times New Roman" w:hAnsi="Times New Roman"/>
          <w:sz w:val="17"/>
          <w:szCs w:val="17"/>
          <w:color w:val="0000FF"/>
        </w:rPr>
        <w:t>C/O ALLISON TRANSMISSION HOLDINGS, INC. ONE ALLISON WAY</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INDIANAPOLIS IN</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46222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8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Allison Transmission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ALSN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05/06/2026</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0" w:lineRule="exact"/>
        <w:rPr>
          <w:sz w:val="24"/>
          <w:szCs w:val="24"/>
          <w:color w:val="auto"/>
        </w:rPr>
      </w:pPr>
    </w:p>
    <w:p>
      <w:pPr>
        <w:sectPr>
          <w:pgSz w:w="11900" w:h="16838" w:orient="portrait"/>
          <w:cols w:equalWidth="0" w:num="2">
            <w:col w:w="3760" w:space="80"/>
            <w:col w:w="7240"/>
          </w:cols>
          <w:pgMar w:left="460" w:top="217" w:right="359" w:bottom="3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05/06/2026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ind w:right="21"/>
              <w:spacing w:after="0" w:line="309" w:lineRule="exact"/>
              <w:rPr>
                <w:sz w:val="20"/>
                <w:szCs w:val="20"/>
                <w:color w:val="auto"/>
              </w:rPr>
            </w:pPr>
            <w:r>
              <w:rPr>
                <w:rFonts w:ascii="Times New Roman" w:cs="Times New Roman" w:eastAsia="Times New Roman" w:hAnsi="Times New Roman"/>
                <w:sz w:val="33"/>
                <w:szCs w:val="33"/>
                <w:color w:val="0000FF"/>
                <w:vertAlign w:val="subscript"/>
              </w:rPr>
              <w:t>92</w:t>
            </w:r>
            <w:r>
              <w:rPr>
                <w:rFonts w:ascii="Times New Roman" w:cs="Times New Roman" w:eastAsia="Times New Roman" w:hAnsi="Times New Roman"/>
                <w:sz w:val="11"/>
                <w:szCs w:val="11"/>
                <w:color w:val="008000"/>
              </w:rPr>
              <w:t>(2)</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11,695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05/06/2026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1,586</w:t>
            </w:r>
            <w:r>
              <w:rPr>
                <w:rFonts w:ascii="Times New Roman" w:cs="Times New Roman" w:eastAsia="Times New Roman" w:hAnsi="Times New Roman"/>
                <w:sz w:val="21"/>
                <w:szCs w:val="21"/>
                <w:color w:val="008000"/>
                <w:vertAlign w:val="superscript"/>
              </w:rPr>
              <w:t>(4)</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13,281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1,570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05/06/2026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3"/>
                <w:szCs w:val="13"/>
                <w:color w:val="0000FF"/>
              </w:rPr>
              <w:t>1,570</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jc w:val="center"/>
              <w:ind w:right="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8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05/06/2026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jc w:val="right"/>
              <w:ind w:right="158"/>
              <w:spacing w:after="0" w:line="141" w:lineRule="exact"/>
              <w:rPr>
                <w:sz w:val="20"/>
                <w:szCs w:val="20"/>
                <w:color w:val="auto"/>
              </w:rPr>
            </w:pPr>
            <w:r>
              <w:rPr>
                <w:rFonts w:ascii="Times New Roman" w:cs="Times New Roman" w:eastAsia="Times New Roman" w:hAnsi="Times New Roman"/>
                <w:sz w:val="13"/>
                <w:szCs w:val="13"/>
                <w:color w:val="0000FF"/>
              </w:rPr>
              <w:t>16</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jc w:val="center"/>
              <w:ind w:right="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1,503</w:t>
            </w:r>
          </w:p>
        </w:tc>
        <w:tc>
          <w:tcPr>
            <w:tcW w:w="760" w:type="dxa"/>
            <w:vAlign w:val="bottom"/>
            <w:gridSpan w:val="2"/>
            <w:vMerge w:val="restart"/>
          </w:tcPr>
          <w:p>
            <w:pPr>
              <w:jc w:val="center"/>
              <w:ind w:right="2"/>
              <w:spacing w:after="0"/>
              <w:rPr>
                <w:sz w:val="20"/>
                <w:szCs w:val="20"/>
                <w:color w:val="auto"/>
              </w:rPr>
            </w:pPr>
            <w:r>
              <w:rPr>
                <w:rFonts w:ascii="Arial" w:cs="Arial" w:eastAsia="Arial" w:hAnsi="Arial"/>
                <w:sz w:val="23"/>
                <w:szCs w:val="23"/>
                <w:color w:val="000000"/>
                <w:w w:val="85"/>
                <w:vertAlign w:val="subscript"/>
              </w:rPr>
              <w:t>$</w:t>
            </w:r>
            <w:r>
              <w:rPr>
                <w:rFonts w:ascii="Times New Roman" w:cs="Times New Roman" w:eastAsia="Times New Roman" w:hAnsi="Times New Roman"/>
                <w:sz w:val="25"/>
                <w:szCs w:val="25"/>
                <w:color w:val="0000FF"/>
                <w:w w:val="85"/>
                <w:vertAlign w:val="subscript"/>
              </w:rPr>
              <w:t>0</w:t>
            </w:r>
            <w:r>
              <w:rPr>
                <w:rFonts w:ascii="Times New Roman" w:cs="Times New Roman" w:eastAsia="Times New Roman" w:hAnsi="Times New Roman"/>
                <w:sz w:val="11"/>
                <w:szCs w:val="11"/>
                <w:color w:val="008000"/>
                <w:w w:val="85"/>
              </w:rPr>
              <w:t>(11)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12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1,503</w:t>
            </w:r>
          </w:p>
        </w:tc>
        <w:tc>
          <w:tcPr>
            <w:tcW w:w="480" w:type="dxa"/>
            <w:vAlign w:val="bottom"/>
          </w:tcPr>
          <w:p>
            <w:pPr>
              <w:spacing w:after="0"/>
              <w:rPr>
                <w:sz w:val="12"/>
                <w:szCs w:val="12"/>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tcPr>
          <w:p>
            <w:pPr>
              <w:jc w:val="center"/>
              <w:ind w:right="61"/>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6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5"/>
              </w:rPr>
              <w:t>1,503</w:t>
            </w:r>
          </w:p>
        </w:tc>
        <w:tc>
          <w:tcPr>
            <w:tcW w:w="30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vMerge w:val="restart"/>
          </w:tcPr>
          <w:p>
            <w:pPr>
              <w:ind w:left="60"/>
              <w:spacing w:after="0" w:line="231"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(9)</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-2557780</wp:posOffset>
            </wp:positionV>
            <wp:extent cx="29210" cy="256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634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a quarterly payment of the reporting person's annual retainer under the Allison Transmission Holdings, Inc. (the "Company") Eighth Amended and Restated Non-Employee Director Compensation Policy. The annual retainer is paid quarterly in arrears in cash or common stock at the reporting person's discretion.</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of common stock received was calculated based on $127.70 which was the closing price of the Company's common stock on the date of grant.</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restricted stock units ("RSUs") and related dividend equivalents.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 dividend equivalents.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8, 2025, the reporting person was granted 1,570 RSUs that vested on May 6, 2026.</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dividend equivalent right is the economic equivalent of one share of the Company's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previously awarded RSUs and vested on May 6, 2026.</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represent the reporting person's annual equity award under the Company's Ninth Amended and Restated Non-Employee Director Compensation Policy.</w:t>
      </w:r>
    </w:p>
    <w:p>
      <w:pPr>
        <w:spacing w:after="0" w:line="43" w:lineRule="exact"/>
        <w:rPr>
          <w:rFonts w:ascii="Times New Roman" w:cs="Times New Roman" w:eastAsia="Times New Roman" w:hAnsi="Times New Roman"/>
          <w:sz w:val="13"/>
          <w:szCs w:val="13"/>
          <w:color w:val="008000"/>
        </w:rPr>
      </w:pPr>
    </w:p>
    <w:p>
      <w:pPr>
        <w:ind w:left="240" w:hanging="199"/>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date of the next annual meeting of the stockholders of the Company. Unvested RSUs earn dividend equivalents when dividends are declared on the Company's common stock.</w:t>
      </w:r>
    </w:p>
    <w:p>
      <w:pPr>
        <w:spacing w:after="0" w:line="43"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RSUs received was calculated based on $123.02, which was the closing price of the Company's common stock on the date of grant.</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Preston B. Ray,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6232" TargetMode="External"/><Relationship Id="rId14" Type="http://schemas.openxmlformats.org/officeDocument/2006/relationships/hyperlink" Target="http://www.sec.gov/cgi-bin/browse-edgar?action=getcompany&amp;CIK=0001411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2026-05-08T15:12:56Z</dcterms:created>
  <dcterms:modified xsi:type="dcterms:W3CDTF">2026-05-08T15:12:56Z</dcterms:modified>
</cp:coreProperties>
</file>